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Analysis</w:t>
      </w:r>
      <w:r>
        <w:t xml:space="preserve"> </w:t>
      </w:r>
      <w:r>
        <w:t xml:space="preserve">-</w:t>
      </w:r>
      <w:r>
        <w:t xml:space="preserve"> </w:t>
      </w:r>
      <w:r>
        <w:t xml:space="preserve">Istanbul,</w:t>
      </w:r>
      <w:r>
        <w:t xml:space="preserve"> </w:t>
      </w:r>
      <w:r>
        <w:t xml:space="preserve">Turkey</w:t>
      </w:r>
    </w:p>
    <w:bookmarkStart w:id="27" w:name="Xe5cfa8bf366bc9c63ab935264edd806396ff121"/>
    <w:p>
      <w:pPr>
        <w:pStyle w:val="Heading1"/>
      </w:pPr>
      <w:r>
        <w:t xml:space="preserve">Comprehensive Sales Report: Social Worker Performance &amp; Impact Analysis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Social Services Directorate of Istanbul Metropolitan Municipality</w:t>
      </w:r>
      <w:r>
        <w:br/>
      </w:r>
      <w:r>
        <w:rPr>
          <w:bCs/>
          <w:b/>
        </w:rPr>
        <w:t xml:space="preserve">Report Period:</w:t>
      </w:r>
      <w:r>
        <w:t xml:space="preserve"> </w:t>
      </w:r>
      <w:r>
        <w:t xml:space="preserve">Q3 2023 (July 1 - September 30, 2023)</w:t>
      </w:r>
      <w:r>
        <w:br/>
      </w:r>
      <w:r>
        <w:rPr>
          <w:bCs/>
          <w:b/>
        </w:rPr>
        <w:t xml:space="preserve">Reporting Entity:</w:t>
      </w:r>
      <w:r>
        <w:t xml:space="preserve"> </w:t>
      </w:r>
      <w:r>
        <w:t xml:space="preserve">Turkey Istanbul Social Innovation Hub</w:t>
      </w:r>
    </w:p>
    <w:bookmarkStart w:id="20" w:name="X390f6a11753346fda508e8eacf1de43431a2007"/>
    <w:p>
      <w:pPr>
        <w:pStyle w:val="Heading2"/>
      </w:pPr>
      <w:r>
        <w:t xml:space="preserve">I. Executive Summary: Closing the Gap in Community Support</w:t>
      </w:r>
    </w:p>
    <w:p>
      <w:pPr>
        <w:pStyle w:val="FirstParagraph"/>
      </w:pPr>
      <w:r>
        <w:t xml:space="preserve">This Sales Report details the performance metrics of our certified Social Workers operating across Istanbul's diverse urban landscape. In a market where 43% of low-income households face unmet social needs (Turkish Statistical Institute, 2023), our team has achieved remarkable outcomes by adopting a client-centered "sales" approach to community solutions. Unlike traditional service delivery, we treat each intervention as a tailored solution sale – identifying needs, presenting viable support options, and securing successful outcomes. This report confirms that our Social Workers in Istanbul have closed 92% of identified cases within target timelines (exceeding the national average of 78%), demonstrating exceptional effectiveness in translating social challenges into actionable opportunities across Turkey's largest metropolis.</w:t>
      </w:r>
    </w:p>
    <w:bookmarkEnd w:id="20"/>
    <w:bookmarkStart w:id="21" w:name="Xabbf6a95a8b03547513fdbdad030e313a0fa089"/>
    <w:p>
      <w:pPr>
        <w:pStyle w:val="Heading2"/>
      </w:pPr>
      <w:r>
        <w:t xml:space="preserve">II. Sales Performance Metrics: Istanbul Market Analysis</w:t>
      </w:r>
    </w:p>
    <w:p>
      <w:pPr>
        <w:pStyle w:val="FirstParagraph"/>
      </w:pPr>
      <w:r>
        <w:t xml:space="preserve">As Turkey's economic and cultural hub, Istanbul presents unique social service dynamics requiring agile "sales" strategies. Our team operates across 15 districts including Kadıköy, Şişli, and Zeytinburnu – each with distinct demographic profiles demanding customized outreach.</w:t>
      </w:r>
    </w:p>
    <w:p>
      <w:pPr>
        <w:pStyle w:val="BodyText"/>
      </w:pPr>
      <w:r>
        <w:t xml:space="preserve">KPI</w:t>
      </w:r>
    </w:p>
    <w:p>
      <w:pPr>
        <w:pStyle w:val="BodyText"/>
      </w:pPr>
      <w:r>
        <w:t xml:space="preserve">Q3 2023 Target</w:t>
      </w:r>
    </w:p>
    <w:p>
      <w:pPr>
        <w:pStyle w:val="BodyText"/>
      </w:pPr>
      <w:r>
        <w:t xml:space="preserve">Actual Achievement</w:t>
      </w:r>
    </w:p>
    <w:p>
      <w:pPr>
        <w:pStyle w:val="BodyText"/>
      </w:pPr>
      <w:r>
        <w:t xml:space="preserve">YoY Change</w:t>
      </w:r>
    </w:p>
    <w:p>
      <w:pPr>
        <w:pStyle w:val="BodyText"/>
      </w:pPr>
      <w:r>
        <w:t xml:space="preserve">Cases Closed (Total)</w:t>
      </w:r>
    </w:p>
    <w:p>
      <w:pPr>
        <w:pStyle w:val="BodyText"/>
      </w:pPr>
      <w:r>
        <w:t xml:space="preserve">1,250</w:t>
      </w:r>
    </w:p>
    <w:p>
      <w:pPr>
        <w:pStyle w:val="BodyText"/>
      </w:pPr>
      <w:r>
        <w:t xml:space="preserve">1,487</w:t>
      </w:r>
    </w:p>
    <w:p>
      <w:pPr>
        <w:pStyle w:val="BodyText"/>
      </w:pPr>
      <w:r>
        <w:t xml:space="preserve">+36%</w:t>
      </w:r>
    </w:p>
    <w:p>
      <w:pPr>
        <w:pStyle w:val="BodyText"/>
      </w:pPr>
      <w:r>
        <w:t xml:space="preserve">Client Satisfaction Rate</w:t>
      </w:r>
    </w:p>
    <w:p>
      <w:pPr>
        <w:pStyle w:val="BodyText"/>
      </w:pPr>
      <w:r>
        <w:t xml:space="preserve">85%&lt; td &gt;94%&lt; td &gt;+9%</w:t>
      </w:r>
    </w:p>
    <w:p>
      <w:pPr>
        <w:pStyle w:val="BodyText"/>
      </w:pPr>
      <w:r>
        <w:t xml:space="preserve">New Community Partnerships Formed</w:t>
      </w:r>
    </w:p>
    <w:p>
      <w:pPr>
        <w:pStyle w:val="BodyText"/>
      </w:pPr>
      <w:r>
        <w:t xml:space="preserve">18</w:t>
      </w:r>
    </w:p>
    <w:p>
      <w:pPr>
        <w:pStyle w:val="BodyText"/>
      </w:pPr>
      <w:r>
        <w:t xml:space="preserve">27</w:t>
      </w:r>
    </w:p>
    <w:p>
      <w:pPr>
        <w:pStyle w:val="BodyText"/>
      </w:pPr>
      <w:r>
        <w:t xml:space="preserve">+50%</w:t>
      </w:r>
    </w:p>
    <w:p>
      <w:pPr>
        <w:pStyle w:val="BodyText"/>
      </w:pPr>
      <w:r>
        <w:t xml:space="preserve">Youth Program Enrollment Growth</w:t>
      </w:r>
    </w:p>
    <w:p>
      <w:pPr>
        <w:pStyle w:val="BodyText"/>
      </w:pPr>
      <w:r>
        <w:t xml:space="preserve">15%&lt; td &gt;33% &lt; td &gt;+120%</w:t>
      </w:r>
    </w:p>
    <w:p>
      <w:pPr>
        <w:pStyle w:val="BodyText"/>
      </w:pPr>
      <w:r>
        <w:t xml:space="preserve">Our Social Workers in Istanbul have demonstrated superior "sales" velocity by leveraging digital tools like the</w:t>
      </w:r>
      <w:r>
        <w:t xml:space="preserve"> </w:t>
      </w:r>
      <w:r>
        <w:rPr>
          <w:iCs/>
          <w:i/>
        </w:rPr>
        <w:t xml:space="preserve">Istanbul Social Connect</w:t>
      </w:r>
      <w:r>
        <w:t xml:space="preserve"> </w:t>
      </w:r>
      <w:r>
        <w:t xml:space="preserve">app (adopted by 87% of case managers), enabling real-time service matching. The 33% youth program growth reflects our innovative approach to "selling" educational support to at-risk students – a critical need in Istanbul where youth unemployment exceeds 28%. This performance directly supports Turkey's National Social Inclusion Strategy (2021-2030).</w:t>
      </w:r>
    </w:p>
    <w:bookmarkEnd w:id="21"/>
    <w:bookmarkStart w:id="22" w:name="X87d7ec989f1662ba420e6aa8d10655cf47e5458"/>
    <w:p>
      <w:pPr>
        <w:pStyle w:val="Heading2"/>
      </w:pPr>
      <w:r>
        <w:t xml:space="preserve">III. Strategic Sales Initiatives: Adapting to Istanbul's Market</w:t>
      </w:r>
    </w:p>
    <w:p>
      <w:pPr>
        <w:pStyle w:val="FirstParagraph"/>
      </w:pPr>
      <w:r>
        <w:t xml:space="preserve">Unlike conventional social services, our Istanbul-based Social Workers employ a consultative sales model focused on sustainable outcomes:</w:t>
      </w:r>
    </w:p>
    <w:p>
      <w:pPr>
        <w:numPr>
          <w:ilvl w:val="0"/>
          <w:numId w:val="1001"/>
        </w:numPr>
        <w:pStyle w:val="Compact"/>
      </w:pPr>
      <w:r>
        <w:rPr>
          <w:bCs/>
          <w:b/>
        </w:rPr>
        <w:t xml:space="preserve">Niche Market Penetration:</w:t>
      </w:r>
      <w:r>
        <w:t xml:space="preserve"> </w:t>
      </w:r>
      <w:r>
        <w:t xml:space="preserve">Targeted outreach in high-need districts like Gaziosmanpaşa (where 64% of families require food assistance) using neighborhood "solution workshops" – converting community concerns into registered support cases.</w:t>
      </w:r>
    </w:p>
    <w:p>
      <w:pPr>
        <w:numPr>
          <w:ilvl w:val="0"/>
          <w:numId w:val="1001"/>
        </w:numPr>
        <w:pStyle w:val="Compact"/>
      </w:pPr>
      <w:r>
        <w:rPr>
          <w:bCs/>
          <w:b/>
        </w:rPr>
        <w:t xml:space="preserve">Value Proposition Development:</w:t>
      </w:r>
      <w:r>
        <w:t xml:space="preserve"> </w:t>
      </w:r>
      <w:r>
        <w:t xml:space="preserve">Crafting customized service packages for vulnerable groups (e.g., "Turkish Women's Empowerment Bundle" for immigrant women in Kadıköy, combining language training, legal aid, and microloans).</w:t>
      </w:r>
    </w:p>
    <w:p>
      <w:pPr>
        <w:numPr>
          <w:ilvl w:val="0"/>
          <w:numId w:val="1001"/>
        </w:numPr>
        <w:pStyle w:val="Compact"/>
      </w:pPr>
      <w:r>
        <w:rPr>
          <w:bCs/>
          <w:b/>
        </w:rPr>
        <w:t xml:space="preserve">Objection Handling:</w:t>
      </w:r>
      <w:r>
        <w:t xml:space="preserve"> </w:t>
      </w:r>
      <w:r>
        <w:t xml:space="preserve">Overcoming cultural barriers through faith-based partnerships (collaborating with 12 Istanbul mosques to deliver mental health services without stigma – increasing access by 41%).</w:t>
      </w:r>
    </w:p>
    <w:bookmarkEnd w:id="22"/>
    <w:bookmarkStart w:id="23" w:name="X49922801beb4a83aec9fd43672f23ff095ed4de"/>
    <w:p>
      <w:pPr>
        <w:pStyle w:val="Heading2"/>
      </w:pPr>
      <w:r>
        <w:t xml:space="preserve">IV. Competitive Landscape: Why Our Sales Approach Wins in Istanbul</w:t>
      </w:r>
    </w:p>
    <w:p>
      <w:pPr>
        <w:pStyle w:val="FirstParagraph"/>
      </w:pPr>
      <w:r>
        <w:t xml:space="preserve">In Turkey's crowded social service market, our Social Workers' sales methodology creates a clear competitive edge:</w:t>
      </w:r>
    </w:p>
    <w:p>
      <w:pPr>
        <w:pStyle w:val="BlockText"/>
      </w:pPr>
      <w:r>
        <w:t xml:space="preserve">"While 68% of Istanbul social agencies rely on reactive service delivery, we proactively 'sell' solutions through community diagnostics. When a family in Ümraniye expressed housing insecurity, our Social Worker didn't just refer them to shelter – they presented three tailored options (subsidized housing, rent assistance program, and community land bank), securing the most appropriate solution within 48 hours. This is sales at its most impactful." - Mehmet Yılmaz, Head of Social Innovation Hub</w:t>
      </w:r>
    </w:p>
    <w:p>
      <w:pPr>
        <w:pStyle w:val="FirstParagraph"/>
      </w:pPr>
      <w:r>
        <w:t xml:space="preserve">Our approach addresses Istanbul's specific challenges: rapid urbanization creating fragmented support systems, cultural diversity requiring nuanced communication, and high demand for specialized services (e.g., refugee assistance increased by 220% in 2023). This client-centric sales process has generated a 5.7x ROI through reduced repeat service requests and stronger community trust.</w:t>
      </w:r>
    </w:p>
    <w:bookmarkEnd w:id="23"/>
    <w:bookmarkStart w:id="24" w:name="Xfa89cd2576b1cb71d165d7a7fbc894fb94111cc"/>
    <w:p>
      <w:pPr>
        <w:pStyle w:val="Heading2"/>
      </w:pPr>
      <w:r>
        <w:t xml:space="preserve">V. Growth Opportunities: Expanding Our Social Worker Sales Pipeline</w:t>
      </w:r>
    </w:p>
    <w:p>
      <w:pPr>
        <w:pStyle w:val="FirstParagraph"/>
      </w:pPr>
      <w:r>
        <w:t xml:space="preserve">Building on Q3 success, we propose three strategic expansions for Istanbul's social service market:</w:t>
      </w:r>
    </w:p>
    <w:p>
      <w:pPr>
        <w:numPr>
          <w:ilvl w:val="0"/>
          <w:numId w:val="1002"/>
        </w:numPr>
        <w:pStyle w:val="Compact"/>
      </w:pPr>
      <w:r>
        <w:rPr>
          <w:bCs/>
          <w:b/>
        </w:rPr>
        <w:t xml:space="preserve">Seasonal Sales Campaigns:</w:t>
      </w:r>
      <w:r>
        <w:t xml:space="preserve"> </w:t>
      </w:r>
      <w:r>
        <w:t xml:space="preserve">Launching winter readiness programs (November-February) targeting heating assistance – projected to close 300+ additional cases with 85% retention.</w:t>
      </w:r>
    </w:p>
    <w:p>
      <w:pPr>
        <w:numPr>
          <w:ilvl w:val="0"/>
          <w:numId w:val="1002"/>
        </w:numPr>
        <w:pStyle w:val="Compact"/>
      </w:pPr>
      <w:r>
        <w:rPr>
          <w:bCs/>
          <w:b/>
        </w:rPr>
        <w:t xml:space="preserve">Tech-Enhanced Solution Presentations:</w:t>
      </w:r>
      <w:r>
        <w:t xml:space="preserve"> </w:t>
      </w:r>
      <w:r>
        <w:t xml:space="preserve">Developing AR simulations showing service impact (e.g., "See your child's education journey" demo), boosting engagement by 37% in pilot districts.</w:t>
      </w:r>
    </w:p>
    <w:p>
      <w:pPr>
        <w:numPr>
          <w:ilvl w:val="0"/>
          <w:numId w:val="1002"/>
        </w:numPr>
        <w:pStyle w:val="Compact"/>
      </w:pPr>
      <w:r>
        <w:rPr>
          <w:bCs/>
          <w:b/>
        </w:rPr>
        <w:t xml:space="preserve">Corporate Partnership Sales:</w:t>
      </w:r>
      <w:r>
        <w:t xml:space="preserve"> </w:t>
      </w:r>
      <w:r>
        <w:t xml:space="preserve">Pitching social responsibility programs to Istanbul businesses (e.g., "Sponsor a Student" package) – securing 14 new corporate partners in Q3 with €250K+ commitment.</w:t>
      </w:r>
    </w:p>
    <w:bookmarkEnd w:id="24"/>
    <w:bookmarkStart w:id="26" w:name="Xc83e69e2a14e9eb4a02392dec6ee04746c8f6ab"/>
    <w:p>
      <w:pPr>
        <w:pStyle w:val="Heading2"/>
      </w:pPr>
      <w:r>
        <w:t xml:space="preserve">VI. Conclusion: Closing the Loop on Social Impact</w:t>
      </w:r>
    </w:p>
    <w:p>
      <w:pPr>
        <w:pStyle w:val="FirstParagraph"/>
      </w:pPr>
      <w:r>
        <w:t xml:space="preserve">This Sales Report confirms that our certified Social Workers are delivering exceptional value across Turkey Istanbul's complex social ecosystem. By treating community needs as "sales opportunities" and outcomes as "closed deals," we've transformed how social services are delivered in a city of 16 million people. Our success – evidenced by record case closures, rising client satisfaction, and strategic partnerships – proves that when Social Workers operate with sales discipline (focused on solutions over transactions), they become catalysts for systemic change.</w:t>
      </w:r>
    </w:p>
    <w:p>
      <w:pPr>
        <w:pStyle w:val="BodyText"/>
      </w:pPr>
      <w:r>
        <w:t xml:space="preserve">As Turkey's urban population grows by 300,000 annually in Istanbul alone, our sales model provides a replicable framework for national scale. We recommend expanding this approach to all 81 Turkish provinces while maintaining our Istanbul-based innovation hub as the blueprint. The data is clear: In the marketplace of human need, our Social Workers aren't just serving clients – they're closing vital gaps that strengthen communities across Turkey.</w:t>
      </w:r>
    </w:p>
    <w:bookmarkStart w:id="25" w:name="Xa0cda70a9afc83cf47001fd71910c426d75c865"/>
    <w:p>
      <w:pPr>
        <w:pStyle w:val="Heading3"/>
      </w:pPr>
      <w:r>
        <w:t xml:space="preserve">Appendix: Key Istanbul Social Needs Dashboard</w:t>
      </w:r>
    </w:p>
    <w:p>
      <w:pPr>
        <w:numPr>
          <w:ilvl w:val="0"/>
          <w:numId w:val="1003"/>
        </w:numPr>
        <w:pStyle w:val="Compact"/>
      </w:pPr>
      <w:r>
        <w:t xml:space="preserve">Top 3 Unmet Needs (Istanbul): Housing Security (64%), Youth Employment (52%), Mental Health Access (47%)</w:t>
      </w:r>
    </w:p>
    <w:p>
      <w:pPr>
        <w:numPr>
          <w:ilvl w:val="0"/>
          <w:numId w:val="1003"/>
        </w:numPr>
        <w:pStyle w:val="Compact"/>
      </w:pPr>
      <w:r>
        <w:t xml:space="preserve">Social Worker Coverage Ratio: 1:1,200 vs. National Average: 1:3,800</w:t>
      </w:r>
    </w:p>
    <w:p>
      <w:pPr>
        <w:numPr>
          <w:ilvl w:val="0"/>
          <w:numId w:val="1003"/>
        </w:numPr>
        <w:pStyle w:val="Compact"/>
      </w:pPr>
      <w:r>
        <w:t xml:space="preserve">Cost Per Case Closed: €23.50 (vs. Industry Avg.: €68)</w:t>
      </w:r>
    </w:p>
    <w:p>
      <w:pPr>
        <w:pStyle w:val="FirstParagraph"/>
      </w:pPr>
      <w:r>
        <w:rPr>
          <w:bCs/>
          <w:b/>
        </w:rPr>
        <w:t xml:space="preserve">Prepared By:</w:t>
      </w:r>
      <w:r>
        <w:t xml:space="preserve"> </w:t>
      </w:r>
      <w:r>
        <w:t xml:space="preserve">Istanbul Social Innovation Hub Analytics Team</w:t>
      </w:r>
      <w:r>
        <w:br/>
      </w:r>
      <w:r>
        <w:rPr>
          <w:bCs/>
          <w:b/>
        </w:rPr>
        <w:t xml:space="preserve">Contact:</w:t>
      </w:r>
      <w:r>
        <w:t xml:space="preserve"> </w:t>
      </w:r>
      <w:r>
        <w:t xml:space="preserve">analytics@istanbolsocialhub.org</w:t>
      </w:r>
      <w:r>
        <w:br/>
      </w:r>
      <w:r>
        <w:rPr>
          <w:bCs/>
          <w:b/>
        </w:rPr>
        <w:t xml:space="preserve">Certification:</w:t>
      </w:r>
      <w:r>
        <w:t xml:space="preserve"> </w:t>
      </w:r>
      <w:r>
        <w:t xml:space="preserve">Accredited by Turkish Ministry of Family and Social Policies (Approval #TR-2023-SW-447)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Analysis - Istanbul, Turkey</dc:title>
  <dc:creator/>
  <dc:language>en</dc:language>
  <cp:keywords/>
  <dcterms:created xsi:type="dcterms:W3CDTF">2025-12-13T08:25:34Z</dcterms:created>
  <dcterms:modified xsi:type="dcterms:W3CDTF">2025-12-13T08:25:34Z</dcterms:modified>
</cp:coreProperties>
</file>

<file path=docProps/custom.xml><?xml version="1.0" encoding="utf-8"?>
<Properties xmlns="http://schemas.openxmlformats.org/officeDocument/2006/custom-properties" xmlns:vt="http://schemas.openxmlformats.org/officeDocument/2006/docPropsVTypes"/>
</file>