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p>
      <w:pPr>
        <w:pStyle w:val="FirstParagraph"/>
      </w:pPr>
      <w:r>
        <w:t xml:space="preserve">Sales Report: Social Worker Performance Analysis - United States Miami Region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Miami Community Services Network (MCSN) Executive Leadership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Miami-Dade County, United States of America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metrics of our frontline Social Workers serving the diverse population across Miami, Florida. As a critical component of our mission-driven service delivery in the United States, these professionals have demonstrated exceptional results in converting community needs into actionable support outcomes. In Q3 2023, Miami-based Social Workers achieved a 15% year-over-year increase in successful client engagement metrics while serving over 1,250 residents across South Florida's most vulnerable communities. This performance positions us to exceed annual service targets by 8.7%, directly supporting our strategic goal of expanding access to social services in the United States Miami marketplace.</w:t>
      </w:r>
    </w:p>
    <w:bookmarkEnd w:id="20"/>
    <w:bookmarkStart w:id="22" w:name="X9be51bff682fe514a4104d964b3ae1127f3a515"/>
    <w:p>
      <w:pPr>
        <w:pStyle w:val="Heading2"/>
      </w:pPr>
      <w:r>
        <w:t xml:space="preserve">II. Performance Metrics &amp; Key Sales Indicators</w:t>
      </w:r>
    </w:p>
    <w:bookmarkStart w:id="21" w:name="a.-client-acquisition-retention"/>
    <w:p>
      <w:pPr>
        <w:pStyle w:val="Heading3"/>
      </w:pPr>
      <w:r>
        <w:t xml:space="preserve">A. Client Acquisition &amp; Retention</w:t>
      </w:r>
    </w:p>
    <w:p>
      <w:pPr>
        <w:pStyle w:val="FirstParagraph"/>
      </w:pPr>
      <w:r>
        <w:t xml:space="preserve">Key Metric</w:t>
      </w:r>
    </w:p>
    <w:bookmarkEnd w:id="21"/>
    <w:bookmarkEnd w:id="22"/>
    <w:p>
      <w:pPr>
        <w:pStyle w:val="BodyText"/>
      </w:pPr>
      <w:r>
        <w:t xml:space="preserve">Q3 2023 (Miami)</w:t>
      </w:r>
    </w:p>
    <w:p>
      <w:pPr>
        <w:pStyle w:val="BodyText"/>
      </w:pPr>
      <w:r>
        <w:t xml:space="preserve">Q2 2023 (Miami)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Annual Target</w:t>
      </w:r>
    </w:p>
    <w:p>
      <w:pPr>
        <w:pStyle w:val="BodyText"/>
      </w:pPr>
      <w:r>
        <w:t xml:space="preserve">New Client Intake</w:t>
      </w:r>
    </w:p>
    <w:p>
      <w:pPr>
        <w:pStyle w:val="BodyText"/>
      </w:pPr>
      <w:r>
        <w:t xml:space="preserve">418</w:t>
      </w:r>
    </w:p>
    <w:p>
      <w:pPr>
        <w:pStyle w:val="BodyText"/>
      </w:pPr>
      <w:r>
        <w:t xml:space="preserve">375</w:t>
      </w:r>
    </w:p>
    <w:p>
      <w:pPr>
        <w:pStyle w:val="BodyText"/>
      </w:pPr>
      <w:r>
        <w:t xml:space="preserve">+11.5%</w:t>
      </w:r>
    </w:p>
    <w:p>
      <w:pPr>
        <w:pStyle w:val="BodyText"/>
      </w:pPr>
      <w:r>
        <w:t xml:space="preserve">1,400</w:t>
      </w:r>
    </w:p>
    <w:p>
      <w:pPr>
        <w:pStyle w:val="BodyText"/>
      </w:pPr>
      <w:r>
        <w:t xml:space="preserve">Total Active Clients (Q3)</w:t>
      </w:r>
    </w:p>
    <w:p>
      <w:pPr>
        <w:pStyle w:val="BodyText"/>
      </w:pPr>
      <w:r>
        <w:t xml:space="preserve">987</w:t>
      </w:r>
    </w:p>
    <w:p>
      <w:pPr>
        <w:pStyle w:val="BodyText"/>
      </w:pPr>
      <w:r>
        <w:t xml:space="preserve">+22% YoY</w:t>
      </w:r>
    </w:p>
    <w:p>
      <w:pPr>
        <w:pStyle w:val="BodyText"/>
      </w:pPr>
      <w:r>
        <w:t xml:space="preserve">965</w:t>
      </w:r>
    </w:p>
    <w:p>
      <w:pPr>
        <w:pStyle w:val="BodyText"/>
      </w:pPr>
      <w:r>
        <w:t xml:space="preserve">Retention Rate (3+ months)</w:t>
      </w:r>
    </w:p>
    <w:p>
      <w:pPr>
        <w:pStyle w:val="BodyText"/>
      </w:pPr>
      <w:r>
        <w:t xml:space="preserve">84%</w:t>
      </w:r>
    </w:p>
    <w:p>
      <w:pPr>
        <w:pStyle w:val="BodyText"/>
      </w:pPr>
      <w:r>
        <w:t xml:space="preserve">79%</w:t>
      </w:r>
    </w:p>
    <w:p>
      <w:pPr>
        <w:pStyle w:val="BodyText"/>
      </w:pPr>
      <w:r>
        <w:t xml:space="preserve">+5.1 pts</w:t>
      </w:r>
    </w:p>
    <w:p>
      <w:pPr>
        <w:pStyle w:val="BodyText"/>
      </w:pPr>
      <w:r>
        <w:t xml:space="preserve">80%</w:t>
      </w:r>
    </w:p>
    <w:p>
      <w:pPr>
        <w:pStyle w:val="BodyText"/>
      </w:pPr>
      <w:r>
        <w:t xml:space="preserve">The Miami Social Worker team achieved a record-breaking 418 new client acquisitions in Q3, driven by strategic partnerships with local healthcare providers and community centers across the United States. This represents a 12% increase in lead conversion rate compared to previous quarters, directly translating to expanded service reach in key Miami neighborhoods including Little Havana, Overtown, and Liberty City.</w:t>
      </w:r>
    </w:p>
    <w:bookmarkStart w:id="23" w:name="b.-service-conversion-success"/>
    <w:p>
      <w:pPr>
        <w:pStyle w:val="Heading3"/>
      </w:pPr>
      <w:r>
        <w:t xml:space="preserve">B. Service Conversion Success</w:t>
      </w:r>
    </w:p>
    <w:p>
      <w:pPr>
        <w:pStyle w:val="FirstParagraph"/>
      </w:pPr>
      <w:r>
        <w:t xml:space="preserve">Our Social Workers excel at transforming community "leads" (referrals from schools, hospitals, law enforcement) into meaningful service engagements. In Miami's unique cultural landscape:</w:t>
      </w:r>
    </w:p>
    <w:p>
      <w:pPr>
        <w:numPr>
          <w:ilvl w:val="0"/>
          <w:numId w:val="1001"/>
        </w:numPr>
        <w:pStyle w:val="Compact"/>
      </w:pPr>
      <w:r>
        <w:t xml:space="preserve">92% of Hispanic/Latinx clients enrolled in trauma support programs</w:t>
      </w:r>
    </w:p>
    <w:p>
      <w:pPr>
        <w:numPr>
          <w:ilvl w:val="0"/>
          <w:numId w:val="1001"/>
        </w:numPr>
        <w:pStyle w:val="Compact"/>
      </w:pPr>
      <w:r>
        <w:t xml:space="preserve">78% of homeless youth referrals secured housing placements within 14 days</w:t>
      </w:r>
    </w:p>
    <w:p>
      <w:pPr>
        <w:numPr>
          <w:ilvl w:val="0"/>
          <w:numId w:val="1001"/>
        </w:numPr>
        <w:pStyle w:val="Compact"/>
      </w:pPr>
      <w:r>
        <w:t xml:space="preserve">65% of domestic violence cases resulted in legal advocacy connections</w:t>
      </w:r>
    </w:p>
    <w:p>
      <w:pPr>
        <w:pStyle w:val="FirstParagraph"/>
      </w:pPr>
      <w:r>
        <w:t xml:space="preserve">These outcomes reflect the specialized cultural competency developed by our Miami-based Social Workers, who leverage bilingual capabilities (English/Spanish) to overcome barriers common in United States urban environments.</w:t>
      </w:r>
    </w:p>
    <w:bookmarkEnd w:id="23"/>
    <w:bookmarkStart w:id="26" w:name="X9065ecfbe3cf6026cc0b625bc4374e9b4579341"/>
    <w:p>
      <w:pPr>
        <w:pStyle w:val="Heading2"/>
      </w:pPr>
      <w:r>
        <w:t xml:space="preserve">III. Market Analysis: Miami-Specific Opportunities</w:t>
      </w:r>
    </w:p>
    <w:p>
      <w:pPr>
        <w:pStyle w:val="FirstParagraph"/>
      </w:pPr>
      <w:r>
        <w:t xml:space="preserve">As the 4th largest metropolitan area in the United States and a cultural hub for Latin America, Miami presents unique opportunities requiring tailored social work approaches. This quarter's report highlights:</w:t>
      </w:r>
    </w:p>
    <w:bookmarkStart w:id="24" w:name="a.-high-value-service-areas"/>
    <w:p>
      <w:pPr>
        <w:pStyle w:val="Heading3"/>
      </w:pPr>
      <w:r>
        <w:t xml:space="preserve">A. High-Value Service Areas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Immigrant Support Services:</w:t>
      </w:r>
      <w:r>
        <w:t xml:space="preserve"> </w:t>
      </w:r>
      <w:r>
        <w:t xml:space="preserve">47% of new clients were recent immigrants requiring assistance with citizenship applications and cultural adjustment – a service line generating the highest client satisfaction scores (4.8/5).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Youth Mental Health:</w:t>
      </w:r>
      <w:r>
        <w:t xml:space="preserve"> </w:t>
      </w:r>
      <w:r>
        <w:t xml:space="preserve">32% increase in referrals from Miami-Dade County schools, leading to implementation of our "Bilingual Youth Resilience Program" which achieved 91% program completion rate.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Stability Initiatives:</w:t>
      </w:r>
      <w:r>
        <w:t xml:space="preserve"> </w:t>
      </w:r>
      <w:r>
        <w:t xml:space="preserve">Social Workers facilitated $285,000 in emergency financial assistance for families impacted by recent tourism industry fluctuations – directly supporting Miami's economic recovery strategy.</w:t>
      </w:r>
    </w:p>
    <w:bookmarkEnd w:id="24"/>
    <w:bookmarkStart w:id="25" w:name="b.-competitive-differentiation"/>
    <w:p>
      <w:pPr>
        <w:pStyle w:val="Heading3"/>
      </w:pPr>
      <w:r>
        <w:t xml:space="preserve">B. Competitive Differentiation</w:t>
      </w:r>
    </w:p>
    <w:p>
      <w:pPr>
        <w:pStyle w:val="FirstParagraph"/>
      </w:pPr>
      <w:r>
        <w:t xml:space="preserve">Unlike national social service providers, our Miami team excels through hyper-local engagement:</w:t>
      </w:r>
    </w:p>
    <w:p>
      <w:pPr>
        <w:pStyle w:val="BodyText"/>
      </w:pPr>
      <w:r>
        <w:t xml:space="preserve">"Our Social Workers don't just provide services – they become trusted community members. In Overtown, one of our staff built relationships with local barbershops and churches to reach at-risk youth, resulting in a 200% increase in program uptake within 9 months." – Carlos Mendez, MCSN Miami Program Director</w:t>
      </w:r>
    </w:p>
    <w:p>
      <w:pPr>
        <w:pStyle w:val="BodyText"/>
      </w:pPr>
      <w:r>
        <w:t xml:space="preserve">This community integration strategy has become our strongest competitive advantage in the United States Miami marketplace, where trust-building is essential for effective service delivery.</w:t>
      </w:r>
    </w:p>
    <w:bookmarkEnd w:id="25"/>
    <w:bookmarkEnd w:id="26"/>
    <w:bookmarkStart w:id="27" w:name="iv.-challenges-strategic-response"/>
    <w:p>
      <w:pPr>
        <w:pStyle w:val="Heading2"/>
      </w:pPr>
      <w:r>
        <w:t xml:space="preserve">IV. Challenges &amp; Strategic Response</w:t>
      </w:r>
    </w:p>
    <w:p>
      <w:pPr>
        <w:pStyle w:val="FirstParagraph"/>
      </w:pPr>
      <w:r>
        <w:t xml:space="preserve">While performance metrics are strong, Miami-specific challenges required innovative solutions:</w:t>
      </w:r>
    </w:p>
    <w:p>
      <w:pPr>
        <w:pStyle w:val="BodyText"/>
      </w:pPr>
      <w:r>
        <w:t xml:space="preserve">Challenge</w:t>
      </w:r>
    </w:p>
    <w:bookmarkEnd w:id="27"/>
    <w:p>
      <w:pPr>
        <w:pStyle w:val="BodyText"/>
      </w:pPr>
      <w:r>
        <w:t xml:space="preserve">Miami-Specific Factor</w:t>
      </w:r>
    </w:p>
    <w:p>
      <w:pPr>
        <w:pStyle w:val="BodyText"/>
      </w:pPr>
      <w:r>
        <w:t xml:space="preserve">Strategic Solution</w:t>
      </w:r>
    </w:p>
    <w:p>
      <w:pPr>
        <w:pStyle w:val="BodyText"/>
      </w:pPr>
      <w:r>
        <w:t xml:space="preserve">Rapid Client Turnover (Homeless Population)</w:t>
      </w:r>
    </w:p>
    <w:p>
      <w:pPr>
        <w:pStyle w:val="BodyText"/>
      </w:pPr>
      <w:r>
        <w:t xml:space="preserve">24% annual growth in homelessness per Miami Housing Authority reports</w:t>
      </w:r>
    </w:p>
    <w:p>
      <w:pPr>
        <w:pStyle w:val="BodyText"/>
      </w:pPr>
      <w:r>
        <w:t xml:space="preserve">Implemented "Mobile Outreach Units" – Social Workers now conduct 75+ community site visits weekly across South Florida</w:t>
      </w:r>
    </w:p>
    <w:p>
      <w:pPr>
        <w:pStyle w:val="BodyText"/>
      </w:pPr>
      <w:r>
        <w:t xml:space="preserve">Cultural Miscommunication Barriers</w:t>
      </w:r>
    </w:p>
    <w:p>
      <w:pPr>
        <w:pStyle w:val="BodyText"/>
      </w:pPr>
      <w:r>
        <w:rPr>
          <w:bCs/>
          <w:b/>
        </w:rPr>
        <w:t xml:space="preserve">Largest Haitian community outside Haiti (Miami-Dade)</w:t>
      </w:r>
    </w:p>
    <w:p>
      <w:pPr>
        <w:pStyle w:val="BodyText"/>
      </w:pPr>
      <w:r>
        <w:t xml:space="preserve">Hired 3 additional Creole-speaking Social Workers; created culturally-tailored intake protocols</w:t>
      </w:r>
    </w:p>
    <w:p>
      <w:pPr>
        <w:pStyle w:val="BodyText"/>
      </w:pPr>
      <w:r>
        <w:t xml:space="preserve">Resource Allocation Pressure</w:t>
      </w:r>
    </w:p>
    <w:p>
      <w:pPr>
        <w:pStyle w:val="BodyText"/>
      </w:pPr>
      <w:r>
        <w:t xml:space="preserve">87% of Miami clients qualify for sliding-scale services (vs. 65% national average)</w:t>
      </w:r>
    </w:p>
    <w:p>
      <w:pPr>
        <w:pStyle w:val="BodyText"/>
      </w:pPr>
      <w:r>
        <w:t xml:space="preserve">Leveraged new United States federal grant (Miami-specific allocation) to expand service capacity by 30%</w:t>
      </w:r>
    </w:p>
    <w:p>
      <w:pPr>
        <w:pStyle w:val="BodyText"/>
      </w:pPr>
      <w:r>
        <w:t xml:space="preserve">These adaptations directly address the unique social landscape of the United States Miami region, transforming challenges into growth opportunities.</w:t>
      </w:r>
    </w:p>
    <w:bookmarkStart w:id="28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Cultural Specialization:</w:t>
      </w:r>
      <w:r>
        <w:t xml:space="preserve"> </w:t>
      </w:r>
      <w:r>
        <w:t xml:space="preserve">Hire 4 additional Social Workers with expertise in Caribbean diaspora communities (critical for Miami's demographic profile)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 mobile case management system to reduce paperwork by 40%, freeing up 15+ hours weekly for direct client service in the United States market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Miami Community Partnerships:</w:t>
      </w:r>
      <w:r>
        <w:t xml:space="preserve"> </w:t>
      </w:r>
      <w:r>
        <w:t xml:space="preserve">Formalize agreements with Miami-Dade Public Schools and Jackson Memorial Hospital for guaranteed referral pipelines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Targeted Outreach:</w:t>
      </w:r>
      <w:r>
        <w:t xml:space="preserve"> </w:t>
      </w:r>
      <w:r>
        <w:t xml:space="preserve">Launch "Summer Youth Empowerment Initiative" focused on Miami Beach and Coral Gables to address rising adolescent mental health needs</w:t>
      </w:r>
    </w:p>
    <w:p>
      <w:pPr>
        <w:pStyle w:val="FirstParagraph"/>
      </w:pPr>
      <w:r>
        <w:t xml:space="preserve">"Our Social Workers are the frontline of our mission in Miami – they don't just close cases, they transform lives," states Executive Director Elena Rodriguez. "The data shows we're not just meeting service targets; we're setting new benchmarks for social work excellence in United States urban communities."</w:t>
      </w:r>
    </w:p>
    <w:bookmarkEnd w:id="28"/>
    <w:bookmarkStart w:id="29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Sales Report confirms that our Social Workers in the United States Miami region are achieving exceptional performance by meeting community needs with culturally competent, results-focused service delivery. The 15% YoY growth in client acquisition and 84% retention rate demonstrate the effectiveness of our localized approach to social work – a model now being considered for replication across other U.S. urban centers.</w:t>
      </w:r>
    </w:p>
    <w:p>
      <w:pPr>
        <w:pStyle w:val="BodyText"/>
      </w:pPr>
      <w:r>
        <w:t xml:space="preserve">As Miami continues to grow as America's gateway city, our Social Workers remain at the forefront of community impact. Every client served represents a successful 'sale' in the truest sense: converting need into hope, vulnerability into strength, and isolation into community connection. This report affirms that when Social Workers operate with cultural intelligence and strategic focus in Miami – the United States's most dynamic multicultural city – remarkable outcomes become inevitable.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Approved budget for Q4 expansion to serve 1,500+ Miami residents, with dedicated resources for high-impact service lines identified in this report.</w:t>
      </w:r>
    </w:p>
    <w:bookmarkEnd w:id="29"/>
    <w:p>
      <w:pPr>
        <w:pStyle w:val="BodyText"/>
      </w:pPr>
      <w:r>
        <w:t xml:space="preserve">Miami Community Services Network | United States Social Service Excellence Since 2005 | Serving South Florida Communities</w:t>
      </w:r>
    </w:p>
    <w:p>
      <w:pPr>
        <w:pStyle w:val="BodyText"/>
      </w:pPr>
      <w:r>
        <w:t xml:space="preserve">This document complies with all United States federal reporting standards for social service agencies. Confidentiality maintained per HIPAA and FL Statute 456.013.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Social Worker Performance - United States Miami</dc:title>
  <dc:creator/>
  <dc:language>en</dc:language>
  <cp:keywords/>
  <dcterms:created xsi:type="dcterms:W3CDTF">2026-07-23T20:28:53Z</dcterms:created>
  <dcterms:modified xsi:type="dcterms:W3CDTF">2026-07-23T20:28:53Z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