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in</w:t>
      </w:r>
      <w:r>
        <w:t xml:space="preserve"> </w:t>
      </w:r>
      <w:r>
        <w:t xml:space="preserve">Tashkent,</w:t>
      </w:r>
      <w:r>
        <w:t xml:space="preserve"> </w:t>
      </w:r>
      <w:r>
        <w:t xml:space="preserve">Uzbekistan</w:t>
      </w:r>
    </w:p>
    <w:bookmarkStart w:id="26" w:name="Xe854d825bdabeba3ee60fef618c64e2d85dbef9"/>
    <w:p>
      <w:pPr>
        <w:pStyle w:val="Heading1"/>
      </w:pPr>
      <w:r>
        <w:t xml:space="preserve">Sales Report: Social Worker Service Utilization and Impact in Tashkent, Uzbekistan</w:t>
      </w:r>
    </w:p>
    <w:p>
      <w:pPr>
        <w:pStyle w:val="FirstParagraph"/>
      </w:pPr>
      <w:r>
        <w:rPr>
          <w:bCs/>
          <w:b/>
        </w:rPr>
        <w:t xml:space="preserve">Prepared For:</w:t>
      </w:r>
      <w:r>
        <w:t xml:space="preserve"> </w:t>
      </w:r>
      <w:r>
        <w:t xml:space="preserve">Ministry of Labor and Social Protection of the Republic of Uzbekistan &amp; Tashkent City Administration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Social Worker service utilization across Tashkent, Uzbekistan. Unlike traditional commercial sales metrics, this document measures the "conversion" of vulnerable individuals into engaged clients receiving essential support services. The report confirms a 34% year-over-year increase in Social Worker-led service uptake within Tashkent's urban districts (2022: 18,450 clients; 2023: 24,750), directly aligning with Uzbekistan's National Social Protection Strategy. Crucially, the success of these initiatives hinges on culturally attuned service delivery methods unique to Tashkent's socio-demographic landscape.</w:t>
      </w:r>
    </w:p>
    <w:bookmarkEnd w:id="20"/>
    <w:bookmarkStart w:id="21" w:name="Xba29596ac6f15c535970a7d2e47915d0865787b"/>
    <w:p>
      <w:pPr>
        <w:pStyle w:val="Heading2"/>
      </w:pPr>
      <w:r>
        <w:t xml:space="preserve">Key Performance Indicators (KPIs) – Social Work "Sales" Metrics</w:t>
      </w:r>
    </w:p>
    <w:p>
      <w:pPr>
        <w:pStyle w:val="FirstParagraph"/>
      </w:pPr>
      <w:r>
        <w:t xml:space="preserve">The following metrics replace conventional sales terminology with social impact language, reflecting the realities of service provision in Uzbekistan Tashkent:</w:t>
      </w:r>
    </w:p>
    <w:p>
      <w:pPr>
        <w:pStyle w:val="BodyText"/>
      </w:pPr>
      <w:r>
        <w:t xml:space="preserve">Performance Metric</w:t>
      </w:r>
    </w:p>
    <w:p>
      <w:pPr>
        <w:pStyle w:val="BodyText"/>
      </w:pPr>
      <w:r>
        <w:t xml:space="preserve">2023 Target</w:t>
      </w:r>
    </w:p>
    <w:p>
      <w:pPr>
        <w:pStyle w:val="BodyText"/>
      </w:pPr>
      <w:r>
        <w:t xml:space="preserve">2023 Actual</w:t>
      </w:r>
    </w:p>
    <w:p>
      <w:pPr>
        <w:pStyle w:val="BodyText"/>
      </w:pPr>
      <w:r>
        <w:t xml:space="preserve">Variance</w:t>
      </w:r>
    </w:p>
    <w:p>
      <w:pPr>
        <w:pStyle w:val="BodyText"/>
      </w:pPr>
      <w:r>
        <w:rPr>
          <w:bCs/>
          <w:b/>
        </w:rPr>
        <w:t xml:space="preserve">Clients Reached (Social "Conversion")</w:t>
      </w:r>
    </w:p>
    <w:p>
      <w:pPr>
        <w:pStyle w:val="BodyText"/>
      </w:pPr>
      <w:r>
        <w:t xml:space="preserve">23,500</w:t>
      </w:r>
    </w:p>
    <w:p>
      <w:pPr>
        <w:pStyle w:val="BodyText"/>
      </w:pPr>
      <w:r>
        <w:t xml:space="preserve">24,750</w:t>
      </w:r>
    </w:p>
    <w:p>
      <w:pPr>
        <w:pStyle w:val="BodyText"/>
      </w:pPr>
      <w:r>
        <w:t xml:space="preserve">+5.3% (+1,250)</w:t>
      </w:r>
    </w:p>
    <w:p>
      <w:pPr>
        <w:pStyle w:val="BodyText"/>
      </w:pPr>
      <w:r>
        <w:rPr>
          <w:bCs/>
          <w:b/>
        </w:rPr>
        <w:t xml:space="preserve">Satisfaction Rate (Client "Retention")</w:t>
      </w:r>
    </w:p>
    <w:p>
      <w:pPr>
        <w:pStyle w:val="BodyText"/>
      </w:pPr>
      <w:r>
        <w:t xml:space="preserve">88%</w:t>
      </w:r>
    </w:p>
    <w:p>
      <w:pPr>
        <w:pStyle w:val="BodyText"/>
      </w:pPr>
      <w:r>
        <w:t xml:space="preserve">92%</w:t>
      </w:r>
    </w:p>
    <w:p>
      <w:pPr>
        <w:pStyle w:val="BodyText"/>
      </w:pPr>
      <w:r>
        <w:t xml:space="preserve">+4%</w:t>
      </w:r>
    </w:p>
    <w:p>
      <w:pPr>
        <w:pStyle w:val="BodyText"/>
      </w:pPr>
      <w:r>
        <w:rPr>
          <w:bCs/>
          <w:b/>
        </w:rPr>
        <w:t xml:space="preserve">Referral Source Growth (Community "Pipeline")</w:t>
      </w:r>
    </w:p>
    <w:p>
      <w:pPr>
        <w:pStyle w:val="BodyText"/>
      </w:pPr>
      <w:r>
        <w:t xml:space="preserve">25% YoY</w:t>
      </w:r>
    </w:p>
    <w:p>
      <w:pPr>
        <w:pStyle w:val="BodyText"/>
      </w:pPr>
      <w:r>
        <w:t xml:space="preserve">31% YoY</w:t>
      </w:r>
    </w:p>
    <w:p>
      <w:pPr>
        <w:pStyle w:val="BodyText"/>
      </w:pPr>
      <w:r>
        <w:t xml:space="preserve">+6%</w:t>
      </w:r>
    </w:p>
    <w:p>
      <w:pPr>
        <w:pStyle w:val="BodyText"/>
      </w:pPr>
      <w:r>
        <w:rPr>
          <w:bCs/>
          <w:b/>
        </w:rPr>
        <w:t xml:space="preserve">Service Completion Rate (Full "Purchase" Closure)</w:t>
      </w:r>
    </w:p>
    <w:p>
      <w:pPr>
        <w:pStyle w:val="BodyText"/>
      </w:pPr>
      <w:r>
        <w:t xml:space="preserve">85%</w:t>
      </w:r>
    </w:p>
    <w:p>
      <w:pPr>
        <w:pStyle w:val="BodyText"/>
      </w:pPr>
      <w:r>
        <w:t xml:space="preserve">89%</w:t>
      </w:r>
    </w:p>
    <w:p>
      <w:pPr>
        <w:pStyle w:val="BodyText"/>
      </w:pPr>
      <w:r>
        <w:t xml:space="preserve">+4%</w:t>
      </w:r>
    </w:p>
    <w:bookmarkEnd w:id="21"/>
    <w:bookmarkStart w:id="22" w:name="X37b401963011395934c8f96b5b2935ef44fa313"/>
    <w:p>
      <w:pPr>
        <w:pStyle w:val="Heading2"/>
      </w:pPr>
      <w:r>
        <w:t xml:space="preserve">Geographic Performance: Tashkent City Focus</w:t>
      </w:r>
    </w:p>
    <w:p>
      <w:pPr>
        <w:pStyle w:val="FirstParagraph"/>
      </w:pPr>
      <w:r>
        <w:t xml:space="preserve">The Social Worker initiative achieved its strongest results in Tashkent, Uzbekistan's capital and largest economic hub. Key district performance highlights include:</w:t>
      </w:r>
    </w:p>
    <w:p>
      <w:pPr>
        <w:numPr>
          <w:ilvl w:val="0"/>
          <w:numId w:val="1001"/>
        </w:numPr>
        <w:pStyle w:val="Compact"/>
      </w:pPr>
      <w:r>
        <w:rPr>
          <w:bCs/>
          <w:b/>
        </w:rPr>
        <w:t xml:space="preserve">Chilanzar District:</w:t>
      </w:r>
      <w:r>
        <w:t xml:space="preserve"> </w:t>
      </w:r>
      <w:r>
        <w:t xml:space="preserve">38% increase in client conversions (from 1,900 to 2,625), driven by partnerships with local "mullah" leaders and community centers (</w:t>
      </w:r>
      <w:r>
        <w:rPr>
          <w:iCs/>
          <w:i/>
        </w:rPr>
        <w:t xml:space="preserve">mehmonxonalar</w:t>
      </w:r>
      <w:r>
        <w:t xml:space="preserve">). This district demonstrated the highest satisfaction rate (94%), proving culturally resonant outreach works.</w:t>
      </w:r>
    </w:p>
    <w:p>
      <w:pPr>
        <w:numPr>
          <w:ilvl w:val="0"/>
          <w:numId w:val="1001"/>
        </w:numPr>
        <w:pStyle w:val="Compact"/>
      </w:pPr>
      <w:r>
        <w:rPr>
          <w:bCs/>
          <w:b/>
        </w:rPr>
        <w:t xml:space="preserve">Yunusobod District:</w:t>
      </w:r>
      <w:r>
        <w:t xml:space="preserve"> </w:t>
      </w:r>
      <w:r>
        <w:t xml:space="preserve">32% growth (1,750 to 2,310 clients) through mobile Social Worker units visiting informal settlements. Critical for reaching Uzbekistan's growing urban migrant population within Tashkent.</w:t>
      </w:r>
    </w:p>
    <w:p>
      <w:pPr>
        <w:numPr>
          <w:ilvl w:val="0"/>
          <w:numId w:val="1001"/>
        </w:numPr>
        <w:pStyle w:val="Compact"/>
      </w:pPr>
      <w:r>
        <w:rPr>
          <w:bCs/>
          <w:b/>
        </w:rPr>
        <w:t xml:space="preserve">Serghat &amp; Mirzo-Ulugbek:</w:t>
      </w:r>
      <w:r>
        <w:t xml:space="preserve"> </w:t>
      </w:r>
      <w:r>
        <w:t xml:space="preserve">41% referral growth from Tashkent City Health Department, indicating strong inter-agency "sales" alignment on vulnerable populations (children, elderly, persons with disabilities).</w:t>
      </w:r>
    </w:p>
    <w:bookmarkEnd w:id="22"/>
    <w:bookmarkStart w:id="23" w:name="X59bd1709959ca6bed380fdb02dafcc8f672c5aa"/>
    <w:p>
      <w:pPr>
        <w:pStyle w:val="Heading2"/>
      </w:pPr>
      <w:r>
        <w:t xml:space="preserve">Uzbekistan-Specific Context: Why Tashkent Succeeds</w:t>
      </w:r>
    </w:p>
    <w:p>
      <w:pPr>
        <w:pStyle w:val="FirstParagraph"/>
      </w:pPr>
      <w:r>
        <w:t xml:space="preserve">The effectiveness of Social Worker services in Tashkent stems from deliberate adaptation to Uzbekistan's unique social and administrative environment:</w:t>
      </w:r>
    </w:p>
    <w:p>
      <w:pPr>
        <w:numPr>
          <w:ilvl w:val="0"/>
          <w:numId w:val="1002"/>
        </w:numPr>
        <w:pStyle w:val="Compact"/>
      </w:pPr>
      <w:r>
        <w:rPr>
          <w:bCs/>
          <w:b/>
        </w:rPr>
        <w:t xml:space="preserve">Government Alignment:</w:t>
      </w:r>
      <w:r>
        <w:t xml:space="preserve"> </w:t>
      </w:r>
      <w:r>
        <w:t xml:space="preserve">Direct integration with the Ministry of Labor’s 2023 "Social Support Digitization Project" allowed real-time client data sharing. Social Workers in Tashkent now utilize the national UZSOS portal, a first for Uzbekistan social services, reducing administrative "friction" common in legacy systems.</w:t>
      </w:r>
    </w:p>
    <w:p>
      <w:pPr>
        <w:numPr>
          <w:ilvl w:val="0"/>
          <w:numId w:val="1002"/>
        </w:numPr>
        <w:pStyle w:val="Compact"/>
      </w:pPr>
      <w:r>
        <w:rPr>
          <w:bCs/>
          <w:b/>
        </w:rPr>
        <w:t xml:space="preserve">Cultural Nuance:</w:t>
      </w:r>
      <w:r>
        <w:t xml:space="preserve"> </w:t>
      </w:r>
      <w:r>
        <w:t xml:space="preserve">Training modules emphasize Uzbek cultural protocols (e.g., addressing elders with</w:t>
      </w:r>
      <w:r>
        <w:t xml:space="preserve"> </w:t>
      </w:r>
      <w:r>
        <w:rPr>
          <w:iCs/>
          <w:i/>
        </w:rPr>
        <w:t xml:space="preserve">"siz"</w:t>
      </w:r>
      <w:r>
        <w:t xml:space="preserve">, avoiding direct eye contact with authority figures during initial consultations). This reduces client drop-off rates by 22% compared to non-adapted services.</w:t>
      </w:r>
    </w:p>
    <w:p>
      <w:pPr>
        <w:numPr>
          <w:ilvl w:val="0"/>
          <w:numId w:val="1002"/>
        </w:numPr>
        <w:pStyle w:val="Compact"/>
      </w:pPr>
      <w:r>
        <w:rPr>
          <w:bCs/>
          <w:b/>
        </w:rPr>
        <w:t xml:space="preserve">Urban Infrastructure:</w:t>
      </w:r>
      <w:r>
        <w:t xml:space="preserve"> </w:t>
      </w:r>
      <w:r>
        <w:t xml:space="preserve">Tashkent’s expanding public transport network enabled Social Workers to reach 37% more clients in outlying neighborhoods (e.g., Qibray, Bektemir) without requiring personal vehicles – a critical cost-saving measure for Uzbekistan’s budget-constrained social programs.</w:t>
      </w:r>
    </w:p>
    <w:bookmarkEnd w:id="23"/>
    <w:bookmarkStart w:id="24" w:name="challenges-strategic-recommendations"/>
    <w:p>
      <w:pPr>
        <w:pStyle w:val="Heading2"/>
      </w:pPr>
      <w:r>
        <w:t xml:space="preserve">Challenges &amp; Strategic Recommendations</w:t>
      </w:r>
    </w:p>
    <w:p>
      <w:pPr>
        <w:pStyle w:val="FirstParagraph"/>
      </w:pPr>
      <w:r>
        <w:t xml:space="preserve">Despite strong results, persistent barriers in Uzbekistan Tashkent require attention:</w:t>
      </w:r>
    </w:p>
    <w:p>
      <w:pPr>
        <w:numPr>
          <w:ilvl w:val="0"/>
          <w:numId w:val="1003"/>
        </w:numPr>
        <w:pStyle w:val="Compact"/>
      </w:pPr>
      <w:r>
        <w:rPr>
          <w:bCs/>
          <w:b/>
        </w:rPr>
        <w:t xml:space="preserve">Challenge:</w:t>
      </w:r>
      <w:r>
        <w:t xml:space="preserve"> </w:t>
      </w:r>
      <w:r>
        <w:t xml:space="preserve">Limited funding for Social Worker training (only 40% of staff received advanced cultural competence modules in 2023).</w:t>
      </w:r>
      <w:r>
        <w:br/>
      </w:r>
      <w:r>
        <w:rPr>
          <w:bCs/>
          <w:b/>
        </w:rPr>
        <w:t xml:space="preserve">Recommendation:</w:t>
      </w:r>
      <w:r>
        <w:t xml:space="preserve"> </w:t>
      </w:r>
      <w:r>
        <w:t xml:space="preserve">Allocate $150,000 from Uzbekistan’s 2024 Social Development Fund specifically for Tashkent-based Social Worker certification. Partner with Tashkent State University to develop Uzbek-language curricula.</w:t>
      </w:r>
    </w:p>
    <w:p>
      <w:pPr>
        <w:numPr>
          <w:ilvl w:val="0"/>
          <w:numId w:val="1003"/>
        </w:numPr>
        <w:pStyle w:val="Compact"/>
      </w:pPr>
      <w:r>
        <w:rPr>
          <w:bCs/>
          <w:b/>
        </w:rPr>
        <w:t xml:space="preserve">Challenge:</w:t>
      </w:r>
      <w:r>
        <w:t xml:space="preserve"> </w:t>
      </w:r>
      <w:r>
        <w:t xml:space="preserve">Stigma around seeking social services, especially among women in conservative neighborhoods.</w:t>
      </w:r>
      <w:r>
        <w:br/>
      </w:r>
      <w:r>
        <w:rPr>
          <w:bCs/>
          <w:b/>
        </w:rPr>
        <w:t xml:space="preserve">Recommendation:</w:t>
      </w:r>
      <w:r>
        <w:t xml:space="preserve"> </w:t>
      </w:r>
      <w:r>
        <w:t xml:space="preserve">Launch a "Social Worker Ambassadors" program in Tashkent using respected community figures (e.g., female teachers, mosque volunteers) to co-deliver outreach – replicating successful models from Namangan Province.</w:t>
      </w:r>
    </w:p>
    <w:bookmarkEnd w:id="24"/>
    <w:bookmarkStart w:id="25" w:name="Xfe50b0f17edee0fd79e18b32e0f40b562ec6d2b"/>
    <w:p>
      <w:pPr>
        <w:pStyle w:val="Heading2"/>
      </w:pPr>
      <w:r>
        <w:t xml:space="preserve">Conclusion: The Social Worker as Value Driver in Uzbekistan</w:t>
      </w:r>
    </w:p>
    <w:p>
      <w:pPr>
        <w:pStyle w:val="FirstParagraph"/>
      </w:pPr>
      <w:r>
        <w:t xml:space="preserve">This Sales Report conclusively demonstrates that Social Workers are not just service providers but critical "value drivers" for Uzbekistan’s social cohesion goals. In Tashkent, their work directly translates to measurable outcomes: 15,300+ individuals securing access to healthcare subsidies, 8,700 children enrolled in state-sponsored educational support programs, and 42% reduction in reported cases of family abandonment through early intervention. These results are not just numbers; they represent Uzbekistan’s commitment to human development within its capital city.</w:t>
      </w:r>
    </w:p>
    <w:p>
      <w:pPr>
        <w:pStyle w:val="BodyText"/>
      </w:pPr>
      <w:r>
        <w:t xml:space="preserve">The success in Tashkent proves that when Social Worker initiatives align with national priorities (as outlined in Uzbekistan’s 2030 Social Development Vision) and respect local context, the "sales" of social support become sustainable. For future periods, we recommend scaling the Tashkent model city-wide, starting with Samarkand and Bukhara. The data is clear: A well-supported Social Worker in Uzbekistan Tashkent delivers transformative impact that exceeds conventional service delivery expectations – turning vulnerable populations into empowered community members.</w:t>
      </w:r>
    </w:p>
    <w:p>
      <w:pPr>
        <w:pStyle w:val="BodyText"/>
      </w:pPr>
      <w:r>
        <w:rPr>
          <w:bCs/>
          <w:b/>
        </w:rPr>
        <w:t xml:space="preserve">Prepared By:</w:t>
      </w:r>
      <w:r>
        <w:t xml:space="preserve"> </w:t>
      </w:r>
      <w:r>
        <w:t xml:space="preserve">Central Social Services Analytics Unit</w:t>
      </w:r>
      <w:r>
        <w:br/>
      </w:r>
      <w:r>
        <w:rPr>
          <w:bCs/>
          <w:b/>
        </w:rPr>
        <w:t xml:space="preserve">Contact:</w:t>
      </w:r>
      <w:r>
        <w:t xml:space="preserve"> </w:t>
      </w:r>
      <w:r>
        <w:t xml:space="preserve">info@socialservices.uz (Tashkent,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Utilization in Tashkent, Uzbekistan</dc:title>
  <dc:creator/>
  <dc:language>en</dc:language>
  <cp:keywords/>
  <dcterms:created xsi:type="dcterms:W3CDTF">2026-07-23T22:53:23Z</dcterms:created>
  <dcterms:modified xsi:type="dcterms:W3CDTF">2026-07-23T22:53:23Z</dcterms:modified>
</cp:coreProperties>
</file>

<file path=docProps/custom.xml><?xml version="1.0" encoding="utf-8"?>
<Properties xmlns="http://schemas.openxmlformats.org/officeDocument/2006/custom-properties" xmlns:vt="http://schemas.openxmlformats.org/officeDocument/2006/docPropsVTypes"/>
</file>