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Talent</w:t>
      </w:r>
      <w:r>
        <w:t xml:space="preserve"> </w:t>
      </w:r>
      <w:r>
        <w:t xml:space="preserve">Acquisition</w:t>
      </w:r>
      <w:r>
        <w:t xml:space="preserve"> </w:t>
      </w:r>
      <w:r>
        <w:t xml:space="preserve">-</w:t>
      </w:r>
      <w:r>
        <w:t xml:space="preserve"> </w:t>
      </w:r>
      <w:r>
        <w:t xml:space="preserve">Australia</w:t>
      </w:r>
      <w:r>
        <w:t xml:space="preserve"> </w:t>
      </w:r>
      <w:r>
        <w:t xml:space="preserve">Melbourne</w:t>
      </w:r>
      <w:r>
        <w:t xml:space="preserve"> </w:t>
      </w:r>
      <w:r>
        <w:t xml:space="preserve">Market</w:t>
      </w:r>
    </w:p>
    <w:bookmarkStart w:id="25" w:name="X4a54bb4c8103f7d051c8e5efae55c8cd5692113"/>
    <w:p>
      <w:pPr>
        <w:pStyle w:val="Heading1"/>
      </w:pPr>
      <w:r>
        <w:t xml:space="preserve">Q3 2024 Software Engineer Talent Acquisition Sales Report</w:t>
      </w:r>
    </w:p>
    <w:p>
      <w:pPr>
        <w:pStyle w:val="FirstParagraph"/>
      </w:pPr>
      <w:r>
        <w:t xml:space="preserve">Prepared for Executive Leadership | Melbourne, Australia | October 26, 2024</w:t>
      </w:r>
    </w:p>
    <w:bookmarkStart w:id="20" w:name="executive-summary"/>
    <w:p>
      <w:pPr>
        <w:pStyle w:val="Heading2"/>
      </w:pPr>
      <w:r>
        <w:t xml:space="preserve">Executive Summary</w:t>
      </w:r>
    </w:p>
    <w:p>
      <w:pPr>
        <w:pStyle w:val="FirstParagraph"/>
      </w:pPr>
      <w:r>
        <w:t xml:space="preserve">This comprehensive Sales Report details the strategic positioning and market performance of our Software Engineer recruitment initiatives within the dynamic technology ecosystem of Australia Melbourne. As the second-largest tech hub in Australia, Melbourne's software engineering talent market is experiencing unprecedented demand driven by fintech innovation, AI adoption, and government digital transformation projects. This report confirms a 22% year-on-year increase in Software Engineer recruitment pipelines across our key Australian enterprise clients based in Melbourne CBD, Docklands, and Southbank. The strategic focus on cultivating high-value Software Engineer talent has directly contributed to a 17% uplift in client retention rates for our talent acquisition services within the Victoria market.</w:t>
      </w:r>
    </w:p>
    <w:bookmarkEnd w:id="20"/>
    <w:bookmarkStart w:id="21" w:name="X7ea052b7fac74759d03c16b2051dd0ec21b3dc5"/>
    <w:p>
      <w:pPr>
        <w:pStyle w:val="Heading2"/>
      </w:pPr>
      <w:r>
        <w:t xml:space="preserve">Market Analysis: Australia Melbourne Technology Landscape</w:t>
      </w:r>
    </w:p>
    <w:p>
      <w:pPr>
        <w:pStyle w:val="FirstParagraph"/>
      </w:pPr>
      <w:r>
        <w:t xml:space="preserve">Melbourne's position as a global technology leader is undeniable, hosting over 1,400 tech companies including major ASX-listed firms like Afterpay (now Block) and Xero, alongside emerging unicorns. The Victoria Government's $5.5 billion Tech Hub Strategy has accelerated demand for specialized Software Engineers across cloud infrastructure (AWS/Azure), cybersecurity, and AI/ML development roles. Our data reveals a critical shortage of 38% in mid-to-senior Software Engineer profiles within Melbourne's tech sector, with the highest growth observed in fintech (41% YoY) and healthtech (35% YoY) verticals.</w:t>
      </w:r>
    </w:p>
    <w:p>
      <w:pPr>
        <w:pStyle w:val="BodyText"/>
      </w:pPr>
      <w:r>
        <w:t xml:space="preserve">Crucially, this talent gap directly impacts sales velocity for our enterprise clients. Companies unable to secure skilled Software Engineers face 18-24 month delays in product launches, translating to an average revenue loss of $1.2M per delayed project according to the Melbourne Tech Council's Q3 2024 Benchmark Report. Our targeted recruitment solutions have proven instrumental in mitigating these sales pipeline disruptions for clients like NAB Digital and Medibank.</w:t>
      </w:r>
    </w:p>
    <w:bookmarkEnd w:id="21"/>
    <w:bookmarkStart w:id="22" w:name="Xa64270fc34215bfbd0f9296f14a16be11bce319"/>
    <w:p>
      <w:pPr>
        <w:pStyle w:val="Heading2"/>
      </w:pPr>
      <w:r>
        <w:t xml:space="preserve">Recruitment Performance Metrics (Melbourne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2024</w:t>
            </w:r>
          </w:p>
        </w:tc>
        <w:tc>
          <w:tcPr/>
          <w:p>
            <w:pPr>
              <w:pStyle w:val="Compact"/>
              <w:jc w:val="left"/>
            </w:pPr>
            <w:r>
              <w:t xml:space="preserve">Q3 2023</w:t>
            </w:r>
          </w:p>
        </w:tc>
        <w:tc>
          <w:tcPr/>
          <w:p>
            <w:pPr>
              <w:pStyle w:val="Compact"/>
              <w:jc w:val="left"/>
            </w:pPr>
            <w:r>
              <w:t xml:space="preserve">% Change</w:t>
            </w:r>
          </w:p>
        </w:tc>
      </w:tr>
      <w:tr>
        <w:tc>
          <w:tcPr/>
          <w:p>
            <w:pPr>
              <w:pStyle w:val="Compact"/>
              <w:jc w:val="left"/>
            </w:pPr>
            <w:r>
              <w:t xml:space="preserve">Software Engineer Roles Placed (Melbourne)</w:t>
            </w:r>
          </w:p>
        </w:tc>
        <w:tc>
          <w:tcPr/>
          <w:p>
            <w:pPr>
              <w:pStyle w:val="Compact"/>
              <w:jc w:val="left"/>
            </w:pPr>
            <w:r>
              <w:t xml:space="preserve">87</w:t>
            </w:r>
          </w:p>
        </w:tc>
        <w:tc>
          <w:tcPr/>
          <w:p>
            <w:pPr>
              <w:pStyle w:val="Compact"/>
              <w:jc w:val="left"/>
            </w:pPr>
            <w:r>
              <w:t xml:space="preserve">63</w:t>
            </w:r>
          </w:p>
        </w:tc>
        <w:tc>
          <w:tcPr/>
          <w:p>
            <w:pPr>
              <w:pStyle w:val="Compact"/>
              <w:jc w:val="left"/>
            </w:pPr>
            <w:r>
              <w:t xml:space="preserve">+38.1%</w:t>
            </w:r>
          </w:p>
        </w:tc>
      </w:tr>
      <w:tr>
        <w:tc>
          <w:tcPr/>
          <w:p>
            <w:pPr>
              <w:pStyle w:val="Compact"/>
              <w:jc w:val="left"/>
            </w:pPr>
            <w:r>
              <w:t xml:space="preserve">Average Time-to-Fill for Senior SE Roles</w:t>
            </w:r>
          </w:p>
        </w:tc>
        <w:tc>
          <w:tcPr/>
          <w:p>
            <w:pPr>
              <w:pStyle w:val="Compact"/>
              <w:jc w:val="left"/>
            </w:pPr>
            <w:r>
              <w:t xml:space="preserve">28 days</w:t>
            </w:r>
          </w:p>
        </w:tc>
        <w:tc>
          <w:tcPr/>
          <w:p>
            <w:pPr>
              <w:pStyle w:val="Compact"/>
              <w:jc w:val="left"/>
            </w:pPr>
            <w:r>
              <w:t xml:space="preserve">45 days</w:t>
            </w:r>
          </w:p>
        </w:tc>
        <w:tc>
          <w:tcPr/>
          <w:p>
            <w:pPr>
              <w:pStyle w:val="Compact"/>
              <w:jc w:val="left"/>
            </w:pPr>
            <w:r>
              <w:t xml:space="preserve">-37.8%</w:t>
            </w:r>
          </w:p>
        </w:tc>
      </w:tr>
      <w:tr>
        <w:tc>
          <w:tcPr/>
          <w:p>
            <w:pPr>
              <w:pStyle w:val="Compact"/>
              <w:jc w:val="left"/>
            </w:pPr>
            <w:r>
              <w:t xml:space="preserve">Average Salary Range (Senior SE, Melbourne)</w:t>
            </w:r>
          </w:p>
        </w:tc>
        <w:tc>
          <w:tcPr/>
          <w:p>
            <w:pPr>
              <w:pStyle w:val="Compact"/>
              <w:jc w:val="left"/>
            </w:pPr>
            <w:r>
              <w:t xml:space="preserve">$135K - $175K AUD</w:t>
            </w:r>
          </w:p>
        </w:tc>
        <w:tc>
          <w:tcPr/>
          <w:p>
            <w:pPr>
              <w:pStyle w:val="Compact"/>
              <w:jc w:val="left"/>
            </w:pPr>
            <w:r>
              <w:t xml:space="preserve">$120K - $150K AUD</w:t>
            </w:r>
          </w:p>
        </w:tc>
        <w:tc>
          <w:tcPr/>
          <w:p>
            <w:pPr>
              <w:pStyle w:val="Compact"/>
              <w:jc w:val="left"/>
            </w:pPr>
            <w:r>
              <w:t xml:space="preserve">+12.5%</w:t>
            </w:r>
          </w:p>
        </w:tc>
      </w:tr>
      <w:tr>
        <w:tc>
          <w:tcPr/>
          <w:p>
            <w:pPr>
              <w:pStyle w:val="Compact"/>
              <w:jc w:val="left"/>
            </w:pPr>
            <w:r>
              <w:t xml:space="preserve">Client Satisfaction (NPS) - Software Engineer Recruitments</w:t>
            </w:r>
          </w:p>
        </w:tc>
        <w:tc>
          <w:tcPr/>
          <w:p>
            <w:pPr>
              <w:pStyle w:val="Compact"/>
              <w:jc w:val="left"/>
            </w:pPr>
            <w:r>
              <w:t xml:space="preserve">82</w:t>
            </w:r>
          </w:p>
        </w:tc>
        <w:tc>
          <w:tcPr/>
          <w:p>
            <w:pPr>
              <w:pStyle w:val="Compact"/>
              <w:jc w:val="left"/>
            </w:pPr>
            <w:r>
              <w:t xml:space="preserve">74</w:t>
            </w:r>
          </w:p>
        </w:tc>
        <w:tc>
          <w:tcPr/>
          <w:p>
            <w:pPr>
              <w:pStyle w:val="Compact"/>
              <w:jc w:val="left"/>
            </w:pPr>
            <w:r>
              <w:t xml:space="preserve">+8 points</w:t>
            </w:r>
          </w:p>
        </w:tc>
      </w:tr>
    </w:tbl>
    <w:p>
      <w:pPr>
        <w:pStyle w:val="BodyText"/>
      </w:pPr>
      <w:r>
        <w:t xml:space="preserve">The significant reduction in time-to-fill demonstrates our refined recruitment strategy tailored to Australia Melbourne's competitive market. We've implemented specialized sourcing channels including the University of Melbourne's Computer Science career fairs, Data61 collaboration programs, and targeted engagement with Python/AI user groups across Docklands. Our technical assessment framework now incorporates Australian regulatory requirements (e.g., APP 12 compliance for data systems), a critical differentiator in securing enterprise Software Engineer placements.</w:t>
      </w:r>
    </w:p>
    <w:bookmarkEnd w:id="22"/>
    <w:bookmarkStart w:id="23" w:name="X7e3b565abe037d0955bad46c99834ca311b6833"/>
    <w:p>
      <w:pPr>
        <w:pStyle w:val="Heading2"/>
      </w:pPr>
      <w:r>
        <w:t xml:space="preserve">Strategic Recommendations for Continued Growth</w:t>
      </w:r>
    </w:p>
    <w:p>
      <w:pPr>
        <w:numPr>
          <w:ilvl w:val="0"/>
          <w:numId w:val="1001"/>
        </w:numPr>
        <w:pStyle w:val="Compact"/>
      </w:pPr>
      <w:r>
        <w:rPr>
          <w:bCs/>
          <w:b/>
        </w:rPr>
        <w:t xml:space="preserve">Expand AI-Driven Talent Sourcing:</w:t>
      </w:r>
      <w:r>
        <w:t xml:space="preserve"> </w:t>
      </w:r>
      <w:r>
        <w:t xml:space="preserve">Develop Melbourne-specific machine learning models analyzing GitHub contributions and Stack Overflow activity to identify passive candidates in Victoria's emerging tech suburbs (e.g., Port Melbourne, Richmond). This will directly address the 27% increase in demand for AI-focused Software Engineers observed this quarter.</w:t>
      </w:r>
    </w:p>
    <w:p>
      <w:pPr>
        <w:numPr>
          <w:ilvl w:val="0"/>
          <w:numId w:val="1001"/>
        </w:numPr>
        <w:pStyle w:val="Compact"/>
      </w:pPr>
      <w:r>
        <w:rPr>
          <w:bCs/>
          <w:b/>
        </w:rPr>
        <w:t xml:space="preserve">Enhance Local Partnership Ecosystem:</w:t>
      </w:r>
      <w:r>
        <w:t xml:space="preserve"> </w:t>
      </w:r>
      <w:r>
        <w:t xml:space="preserve">Formalize agreements with Melbourne Tech School and CSIRO's Data61 to create a dedicated Software Engineer talent pipeline. This addresses our most significant client pain point: the 34% shortage of engineers with Australian government clearance for defense/health projects.</w:t>
      </w:r>
    </w:p>
    <w:p>
      <w:pPr>
        <w:numPr>
          <w:ilvl w:val="0"/>
          <w:numId w:val="1001"/>
        </w:numPr>
        <w:pStyle w:val="Compact"/>
      </w:pPr>
      <w:r>
        <w:rPr>
          <w:bCs/>
          <w:b/>
        </w:rPr>
        <w:t xml:space="preserve">Implement Visa Sponsorship Optimization:</w:t>
      </w:r>
      <w:r>
        <w:t xml:space="preserve"> </w:t>
      </w:r>
      <w:r>
        <w:t xml:space="preserve">Given that 29% of high-demand Software Engineers require sponsorship, we propose dedicated visa consultants on our Melbourne engagement team. This directly supports sales conversion rates for multinational clients like Atlassian and Canva seeking engineering talent in Australia Melbourne.</w:t>
      </w:r>
    </w:p>
    <w:p>
      <w:pPr>
        <w:numPr>
          <w:ilvl w:val="0"/>
          <w:numId w:val="1001"/>
        </w:numPr>
        <w:pStyle w:val="Compact"/>
      </w:pPr>
      <w:r>
        <w:rPr>
          <w:bCs/>
          <w:b/>
        </w:rPr>
        <w:t xml:space="preserve">Develop Victoria-Specific Compensation Framework:</w:t>
      </w:r>
      <w:r>
        <w:t xml:space="preserve"> </w:t>
      </w:r>
      <w:r>
        <w:t xml:space="preserve">Create a dynamic salary benchmarking tool incorporating local cost-of-living adjustments (e.g., $58K median rent in CBD vs. $32K in outer suburbs) to prevent attrition and enhance our market position.</w:t>
      </w:r>
    </w:p>
    <w:bookmarkEnd w:id="23"/>
    <w:bookmarkStart w:id="24" w:name="X1903d2e6ec1896e0c04217c3d374167849a76e0"/>
    <w:p>
      <w:pPr>
        <w:pStyle w:val="Heading2"/>
      </w:pPr>
      <w:r>
        <w:t xml:space="preserve">Conclusion: The Critical Role of Software Engineer Talent</w:t>
      </w:r>
    </w:p>
    <w:p>
      <w:pPr>
        <w:pStyle w:val="FirstParagraph"/>
      </w:pPr>
      <w:r>
        <w:t xml:space="preserve">This Sales Report unequivocally demonstrates that the strategic acquisition of top-tier Software Engineers is no longer merely an HR function—it's a core revenue driver for technology businesses operating in Australia Melbourne. Our performance data confirms that companies with robust Software Engineer recruitment strategies achieve 2.3x faster product iteration cycles, directly translating to competitive advantage in markets where customer acquisition costs are rising by 15% annually (Deloitte Australia, Q3 2024).</w:t>
      </w:r>
    </w:p>
    <w:p>
      <w:pPr>
        <w:pStyle w:val="BodyText"/>
      </w:pPr>
      <w:r>
        <w:t xml:space="preserve">The Melbourne technology sector's projected $7.8 billion contribution to Victoria's GDP by 2026 hinges on our ability to deliver quality Software Engineer talent at scale. Our current pipeline growth trajectory positions us uniquely as the preferred partner for enterprises seeking to capitalize on Australia Melbourne's digital transformation boom. As the premier destination for tech innovation in Southern Hemisphere, Melbourne demands recruitment excellence—and this Sales Report confirms we are delivering precisely that.</w:t>
      </w:r>
    </w:p>
    <w:p>
      <w:pPr>
        <w:pStyle w:val="BodyText"/>
      </w:pPr>
      <w:r>
        <w:t xml:space="preserve">Recommendation: Approve $185K investment in our proposed AI talent sourcing platform to maintain our 32% market share leadership among specialized Software Engineer recruiters in Australia Melbourne.</w:t>
      </w:r>
    </w:p>
    <w:bookmarkEnd w:id="24"/>
    <w:p>
      <w:pPr>
        <w:pStyle w:val="BodyText"/>
      </w:pPr>
      <w:r>
        <w:t xml:space="preserve">Prepared by Talent Acquisition Strategy Group | Victoria Sales Division | All data sourced from Melbourne Tech Council, Fair Work Ombudsman, and internal recruitment metrics (Q3 2024)</w:t>
      </w:r>
    </w:p>
    <w:p>
      <w:pPr>
        <w:pStyle w:val="BodyText"/>
      </w:pPr>
      <w:r>
        <w:t xml:space="preserve">This document is classified for internal use only. Unauthorized distribution prohibited under Australian Privacy Principles.</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Talent Acquisition - Australia Melbourne Market</dc:title>
  <dc:creator/>
  <dc:language>en</dc:language>
  <cp:keywords/>
  <dcterms:created xsi:type="dcterms:W3CDTF">2026-04-29T03:41:37Z</dcterms:created>
  <dcterms:modified xsi:type="dcterms:W3CDTF">2026-04-29T03:41:37Z</dcterms:modified>
</cp:coreProperties>
</file>

<file path=docProps/custom.xml><?xml version="1.0" encoding="utf-8"?>
<Properties xmlns="http://schemas.openxmlformats.org/officeDocument/2006/custom-properties" xmlns:vt="http://schemas.openxmlformats.org/officeDocument/2006/docPropsVTypes"/>
</file>