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Toronto</w:t>
      </w:r>
    </w:p>
    <w:bookmarkStart w:id="27" w:name="X6cc6604a884a7a97fa074f4f3eec344eeaff567"/>
    <w:p>
      <w:pPr>
        <w:pStyle w:val="Heading1"/>
      </w:pPr>
      <w:r>
        <w:t xml:space="preserve">Quarterly Sales Report: Strategic Recruitment of Software Engineers in Canada Toronto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North American Operations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recruitment performance for Software Engineer positions across Canada Toronto during Q3 2023. The report demonstrates significant growth in talent acquisition metrics, directly contributing to our strategic expansion goals in one of North America's most dynamic tech hubs. Canada Toronto has emerged as a critical market where we've achieved a 42% year-over-year increase in successful Software Engineer placements, exceeding all quarterly targets by 18%. This Sales Report underscores how strategic recruitment initiatives for the Software Engineer role are driving revenue growth and market leadership in Canada Toronto's competitive technology sector.</w:t>
      </w:r>
    </w:p>
    <w:bookmarkEnd w:id="20"/>
    <w:bookmarkStart w:id="21" w:name="X0d27b37238e636417951cca6af64d87bae117a3"/>
    <w:p>
      <w:pPr>
        <w:pStyle w:val="Heading2"/>
      </w:pPr>
      <w:r>
        <w:t xml:space="preserve">II. Market Analysis: Canada Toronto Technology Landscape</w:t>
      </w:r>
    </w:p>
    <w:p>
      <w:pPr>
        <w:pStyle w:val="FirstParagraph"/>
      </w:pPr>
      <w:r>
        <w:t xml:space="preserve">Canada Toronto represents a $5.8 billion annual talent acquisition market for software engineering roles, growing at 12% annually. This Sales Report analyzes how our recruitment strategy aligns with the city's unique ecosystem:</w:t>
      </w:r>
    </w:p>
    <w:p>
      <w:pPr>
        <w:numPr>
          <w:ilvl w:val="0"/>
          <w:numId w:val="1001"/>
        </w:numPr>
        <w:pStyle w:val="Compact"/>
      </w:pPr>
      <w:r>
        <w:rPr>
          <w:bCs/>
          <w:b/>
        </w:rPr>
        <w:t xml:space="preserve">Competitive Talent Pool:</w:t>
      </w:r>
      <w:r>
        <w:t xml:space="preserve"> </w:t>
      </w:r>
      <w:r>
        <w:t xml:space="preserve">Toronto boasts 230,000+ software developers within a 50km radius, but only 17% are actively seeking new roles. Our Sales Report confirms that our specialized Software Engineer recruitment process achieved a 68% candidate engagement rate – significantly above the market average of 41%.</w:t>
      </w:r>
    </w:p>
    <w:p>
      <w:pPr>
        <w:numPr>
          <w:ilvl w:val="0"/>
          <w:numId w:val="1001"/>
        </w:numPr>
        <w:pStyle w:val="Compact"/>
      </w:pPr>
      <w:r>
        <w:rPr>
          <w:bCs/>
          <w:b/>
        </w:rPr>
        <w:t xml:space="preserve">Industry Demand:</w:t>
      </w:r>
      <w:r>
        <w:t xml:space="preserve"> </w:t>
      </w:r>
      <w:r>
        <w:t xml:space="preserve">Key sectors driving demand include fintech (32%), AI/ML startups (28%), and enterprise SaaS providers (25%). The Sales Report data shows that Software Engineer roles in these segments commanded 37% higher average salaries than national averages.</w:t>
      </w:r>
    </w:p>
    <w:p>
      <w:pPr>
        <w:numPr>
          <w:ilvl w:val="0"/>
          <w:numId w:val="1001"/>
        </w:numPr>
        <w:pStyle w:val="Compact"/>
      </w:pPr>
      <w:r>
        <w:rPr>
          <w:bCs/>
          <w:b/>
        </w:rPr>
        <w:t xml:space="preserve">Local Differentiation:</w:t>
      </w:r>
      <w:r>
        <w:t xml:space="preserve"> </w:t>
      </w:r>
      <w:r>
        <w:t xml:space="preserve">Unlike competitors focusing on generic tech recruitment, our Canada Toronto team specializes exclusively in high-impact Software Engineer placements. This niche focus has positioned us as the preferred partner for companies scaling operations in Canada Toronto.</w:t>
      </w:r>
    </w:p>
    <w:bookmarkEnd w:id="21"/>
    <w:bookmarkStart w:id="22" w:name="X619d46f454c8b2c44f9d6c210a3f7083b9f5630"/>
    <w:p>
      <w:pPr>
        <w:pStyle w:val="Heading2"/>
      </w:pPr>
      <w:r>
        <w:t xml:space="preserve">III. Recruitment Performance: Software Engineer Placement Metrics</w:t>
      </w:r>
    </w:p>
    <w:p>
      <w:pPr>
        <w:pStyle w:val="FirstParagraph"/>
      </w:pPr>
      <w:r>
        <w:t xml:space="preserve">The following metrics highlight our Q3 Sales Report outcomes for Software Engineer roles: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Total Software Engineer Placements in Canada Toronto</w:t>
            </w:r>
          </w:p>
        </w:tc>
        <w:tc>
          <w:tcPr/>
          <w:p>
            <w:pPr>
              <w:pStyle w:val="Compact"/>
              <w:jc w:val="left"/>
            </w:pPr>
            <w:r>
              <w:t xml:space="preserve">87</w:t>
            </w:r>
          </w:p>
        </w:tc>
        <w:tc>
          <w:tcPr/>
          <w:p>
            <w:pPr>
              <w:pStyle w:val="Compact"/>
              <w:jc w:val="left"/>
            </w:pPr>
            <w:r>
              <w:t xml:space="preserve">61</w:t>
            </w:r>
          </w:p>
        </w:tc>
        <w:tc>
          <w:tcPr/>
          <w:p>
            <w:pPr>
              <w:pStyle w:val="Compact"/>
              <w:jc w:val="left"/>
            </w:pPr>
            <w:r>
              <w:t xml:space="preserve">+42.6%</w:t>
            </w:r>
          </w:p>
        </w:tc>
      </w:tr>
      <w:tr>
        <w:tc>
          <w:tcPr/>
          <w:p>
            <w:pPr>
              <w:pStyle w:val="Compact"/>
              <w:jc w:val="left"/>
            </w:pPr>
            <w:r>
              <w:t xml:space="preserve">Average Time-to-Fill (Days)</w:t>
            </w:r>
          </w:p>
        </w:tc>
        <w:tc>
          <w:tcPr/>
          <w:p>
            <w:pPr>
              <w:pStyle w:val="Compact"/>
              <w:jc w:val="left"/>
            </w:pPr>
            <w:r>
              <w:t xml:space="preserve">28 days</w:t>
            </w:r>
          </w:p>
        </w:tc>
        <w:tc>
          <w:tcPr/>
          <w:p>
            <w:pPr>
              <w:pStyle w:val="Compact"/>
              <w:jc w:val="left"/>
            </w:pPr>
            <w:r>
              <w:t xml:space="preserve">35 days</w:t>
            </w:r>
          </w:p>
        </w:tc>
        <w:tc>
          <w:tcPr/>
          <w:p>
            <w:pPr>
              <w:pStyle w:val="Compact"/>
              <w:jc w:val="left"/>
            </w:pPr>
            <w:r>
              <w:t xml:space="preserve">-20%</w:t>
            </w:r>
          </w:p>
        </w:tc>
      </w:tr>
      <w:tr>
        <w:tc>
          <w:tcPr/>
          <w:p>
            <w:pPr>
              <w:pStyle w:val="Compact"/>
              <w:jc w:val="left"/>
            </w:pPr>
            <w:r>
              <w:t xml:space="preserve">Client Satisfaction Score (Out of 10)</w:t>
            </w:r>
          </w:p>
        </w:tc>
        <w:tc>
          <w:tcPr/>
          <w:p>
            <w:pPr>
              <w:pStyle w:val="Compact"/>
              <w:jc w:val="left"/>
            </w:pPr>
            <w:r>
              <w:t xml:space="preserve">9.4</w:t>
            </w:r>
          </w:p>
        </w:tc>
        <w:tc>
          <w:tcPr/>
          <w:p>
            <w:pPr>
              <w:pStyle w:val="Compact"/>
              <w:jc w:val="left"/>
            </w:pPr>
            <w:r>
              <w:t xml:space="preserve">8.7</w:t>
            </w:r>
          </w:p>
        </w:tc>
        <w:tc>
          <w:tcPr/>
          <w:p>
            <w:pPr>
              <w:pStyle w:val="Compact"/>
              <w:jc w:val="left"/>
            </w:pPr>
            <w:r>
              <w:t xml:space="preserve">+7.9%</w:t>
            </w:r>
          </w:p>
        </w:tc>
      </w:tr>
      <w:tr>
        <w:tc>
          <w:tcPr/>
          <w:p>
            <w:pPr>
              <w:pStyle w:val="Compact"/>
              <w:jc w:val="left"/>
            </w:pPr>
            <w:r>
              <w:t xml:space="preserve">Average Starting Salary (CAD)</w:t>
            </w:r>
          </w:p>
        </w:tc>
        <w:tc>
          <w:tcPr/>
          <w:p>
            <w:pPr>
              <w:pStyle w:val="Compact"/>
              <w:jc w:val="left"/>
            </w:pPr>
            <w:r>
              <w:t xml:space="preserve">$132,500</w:t>
            </w:r>
          </w:p>
        </w:tc>
        <w:tc>
          <w:tcPr/>
          <w:p>
            <w:pPr>
              <w:pStyle w:val="Compact"/>
              <w:jc w:val="left"/>
            </w:pPr>
            <w:r>
              <w:t xml:space="preserve">$126,000</w:t>
            </w:r>
          </w:p>
        </w:tc>
        <w:tc>
          <w:tcPr/>
          <w:p>
            <w:pPr>
              <w:pStyle w:val="Compact"/>
              <w:jc w:val="left"/>
            </w:pPr>
            <w:r>
              <w:t xml:space="preserve">+5.2%</w:t>
            </w:r>
          </w:p>
        </w:tc>
      </w:tr>
      <w:tr>
        <w:tc>
          <w:tcPr/>
          <w:p>
            <w:pPr>
              <w:pStyle w:val="Compact"/>
              <w:jc w:val="left"/>
            </w:pPr>
            <w:r>
              <w:t xml:space="preserve">Retention Rate (90 Days Post-Hire)</w:t>
            </w:r>
          </w:p>
        </w:tc>
        <w:tc>
          <w:tcPr/>
          <w:p>
            <w:pPr>
              <w:pStyle w:val="Compact"/>
              <w:jc w:val="left"/>
            </w:pPr>
            <w:r>
              <w:t xml:space="preserve">94%</w:t>
            </w:r>
          </w:p>
        </w:tc>
        <w:tc>
          <w:tcPr/>
          <w:p>
            <w:pPr>
              <w:pStyle w:val="Compact"/>
              <w:jc w:val="left"/>
            </w:pPr>
            <w:r>
              <w:t xml:space="preserve">88%</w:t>
            </w:r>
          </w:p>
        </w:tc>
        <w:tc>
          <w:tcPr/>
          <w:p>
            <w:pPr>
              <w:pStyle w:val="Compact"/>
              <w:jc w:val="left"/>
            </w:pPr>
            <w:r>
              <w:t xml:space="preserve">+6.3%</w:t>
            </w:r>
          </w:p>
        </w:tc>
      </w:tr>
    </w:tbl>
    <w:p>
      <w:pPr>
        <w:pStyle w:val="BodyText"/>
      </w:pPr>
      <w:r>
        <w:t xml:space="preserve">The Sales Report reveals that our strategic focus on mid-to-senior level Software Engineer roles (62% of placements) directly correlated with higher client satisfaction and retention. Notably, 73% of these placements were made within Toronto's core tech corridor (Kensington Market to Yorkdale), demonstrating our hyper-local expertise in Canada Toronto's talent geography.</w:t>
      </w:r>
    </w:p>
    <w:bookmarkEnd w:id="22"/>
    <w:bookmarkStart w:id="23" w:name="Xedc7097f46e88d03324e3724e53b6c6615685d1"/>
    <w:p>
      <w:pPr>
        <w:pStyle w:val="Heading2"/>
      </w:pPr>
      <w:r>
        <w:t xml:space="preserve">IV. Strategic Initiatives Driving Success</w:t>
      </w:r>
    </w:p>
    <w:p>
      <w:pPr>
        <w:pStyle w:val="FirstParagraph"/>
      </w:pPr>
      <w:r>
        <w:t xml:space="preserve">This Sales Report identifies three key initiatives that transformed Software Engineer recruitment in Canada Toronto:</w:t>
      </w:r>
    </w:p>
    <w:p>
      <w:pPr>
        <w:numPr>
          <w:ilvl w:val="0"/>
          <w:numId w:val="1002"/>
        </w:numPr>
        <w:pStyle w:val="Compact"/>
      </w:pPr>
      <w:r>
        <w:rPr>
          <w:bCs/>
          <w:b/>
        </w:rPr>
        <w:t xml:space="preserve">AI-Powered Candidate Matching:</w:t>
      </w:r>
      <w:r>
        <w:t xml:space="preserve"> </w:t>
      </w:r>
      <w:r>
        <w:t xml:space="preserve">Implemented proprietary algorithm analyzing 15+ data points beyond resumes (GitHub activity, Stack Overflow contributions, open-source projects). This reduced mismatch rates by 34% and accelerated the Software Engineer placement cycle in Canada Toronto markets.</w:t>
      </w:r>
    </w:p>
    <w:p>
      <w:pPr>
        <w:numPr>
          <w:ilvl w:val="0"/>
          <w:numId w:val="1002"/>
        </w:numPr>
        <w:pStyle w:val="Compact"/>
      </w:pPr>
      <w:r>
        <w:rPr>
          <w:bCs/>
          <w:b/>
        </w:rPr>
        <w:t xml:space="preserve">University Partnerships Program:</w:t>
      </w:r>
      <w:r>
        <w:t xml:space="preserve"> </w:t>
      </w:r>
      <w:r>
        <w:t xml:space="preserve">Formalized partnerships with University of Toronto, Ryerson University, and Seneca College. The program generated 57 qualified entry-level Software Engineer candidates for our clients – representing a 200% increase over Q2. This directly addresses Canada Toronto's critical need for new talent pipelines.</w:t>
      </w:r>
    </w:p>
    <w:p>
      <w:pPr>
        <w:numPr>
          <w:ilvl w:val="0"/>
          <w:numId w:val="1002"/>
        </w:numPr>
        <w:pStyle w:val="Compact"/>
      </w:pPr>
      <w:r>
        <w:rPr>
          <w:bCs/>
          <w:b/>
        </w:rPr>
        <w:t xml:space="preserve">Specialized Tech Community Engagement:</w:t>
      </w:r>
      <w:r>
        <w:t xml:space="preserve"> </w:t>
      </w:r>
      <w:r>
        <w:t xml:space="preserve">Hosted quarterly "Toronto Tech Connect" events featuring workshops with lead Software Engineers from Shopify, Wealthsimple, and Medallia. These initiatives positioned our firm as a community leader, generating 48% of all new client leads for Software Engineer roles in Canada Toronto.</w:t>
      </w:r>
    </w:p>
    <w:bookmarkEnd w:id="23"/>
    <w:bookmarkStart w:id="24" w:name="v.-challenges-market-insights"/>
    <w:p>
      <w:pPr>
        <w:pStyle w:val="Heading2"/>
      </w:pPr>
      <w:r>
        <w:t xml:space="preserve">V. Challenges &amp; Market Insights</w:t>
      </w:r>
    </w:p>
    <w:p>
      <w:pPr>
        <w:pStyle w:val="FirstParagraph"/>
      </w:pPr>
      <w:r>
        <w:t xml:space="preserve">While the Sales Report reflects strong performance, we identified critical market challenges requiring strategic adaptation:</w:t>
      </w:r>
    </w:p>
    <w:p>
      <w:pPr>
        <w:numPr>
          <w:ilvl w:val="0"/>
          <w:numId w:val="1003"/>
        </w:numPr>
        <w:pStyle w:val="Compact"/>
      </w:pPr>
      <w:r>
        <w:rPr>
          <w:bCs/>
          <w:b/>
        </w:rPr>
        <w:t xml:space="preserve">Talent Shortage Intensification:</w:t>
      </w:r>
      <w:r>
        <w:t xml:space="preserve"> </w:t>
      </w:r>
      <w:r>
        <w:t xml:space="preserve">The demand for senior Software Engineer positions in Canada Toronto now outpaces supply by 4.7:1 (up from 3.2:1 last year). This necessitates our expanded focus on upskilling programs for existing tech talent.</w:t>
      </w:r>
    </w:p>
    <w:p>
      <w:pPr>
        <w:numPr>
          <w:ilvl w:val="0"/>
          <w:numId w:val="1003"/>
        </w:numPr>
        <w:pStyle w:val="Compact"/>
      </w:pPr>
      <w:r>
        <w:rPr>
          <w:bCs/>
          <w:b/>
        </w:rPr>
        <w:t xml:space="preserve">Competition for Top Talent:</w:t>
      </w:r>
      <w:r>
        <w:t xml:space="preserve"> </w:t>
      </w:r>
      <w:r>
        <w:t xml:space="preserve">Global firms like Google and Microsoft are aggressively poaching Toronto-based Software Engineers with relocation packages. Our Sales Report indicates a 23% increase in "poaching" incidents requiring rapid counter-strategy development.</w:t>
      </w:r>
    </w:p>
    <w:p>
      <w:pPr>
        <w:numPr>
          <w:ilvl w:val="0"/>
          <w:numId w:val="1003"/>
        </w:numPr>
        <w:pStyle w:val="Compact"/>
      </w:pPr>
      <w:r>
        <w:rPr>
          <w:bCs/>
          <w:b/>
        </w:rPr>
        <w:t xml:space="preserve">Remote Work Evolution:</w:t>
      </w:r>
      <w:r>
        <w:t xml:space="preserve"> </w:t>
      </w:r>
      <w:r>
        <w:t xml:space="preserve">While 68% of Canadian tech firms now offer hybrid models, the Sales Report shows that 79% of Software Engineer candidates prefer Toronto-based roles. This presents a strategic opportunity for local retention versus national recruitment.</w:t>
      </w:r>
    </w:p>
    <w:bookmarkEnd w:id="24"/>
    <w:bookmarkStart w:id="25" w:name="vi.-strategic-recommendations"/>
    <w:p>
      <w:pPr>
        <w:pStyle w:val="Heading2"/>
      </w:pPr>
      <w:r>
        <w:t xml:space="preserve">VI. Strategic Recommendations</w:t>
      </w:r>
    </w:p>
    <w:p>
      <w:pPr>
        <w:pStyle w:val="FirstParagraph"/>
      </w:pPr>
      <w:r>
        <w:t xml:space="preserve">Based on this Sales Report analysis, we recommend:</w:t>
      </w:r>
    </w:p>
    <w:p>
      <w:pPr>
        <w:numPr>
          <w:ilvl w:val="0"/>
          <w:numId w:val="1004"/>
        </w:numPr>
        <w:pStyle w:val="Compact"/>
      </w:pPr>
      <w:r>
        <w:rPr>
          <w:bCs/>
          <w:b/>
        </w:rPr>
        <w:t xml:space="preserve">Invest $150K in Toronto Talent Development Hub:</w:t>
      </w:r>
      <w:r>
        <w:t xml:space="preserve"> </w:t>
      </w:r>
      <w:r>
        <w:t xml:space="preserve">Establish an on-site upskilling center specifically for Software Engineer career progression within Canada Toronto. This addresses the talent gap while building client loyalty through community investment.</w:t>
      </w:r>
    </w:p>
    <w:p>
      <w:pPr>
        <w:numPr>
          <w:ilvl w:val="0"/>
          <w:numId w:val="1004"/>
        </w:numPr>
        <w:pStyle w:val="Compact"/>
      </w:pPr>
      <w:r>
        <w:rPr>
          <w:bCs/>
          <w:b/>
        </w:rPr>
        <w:t xml:space="preserve">Create Specialized Software Engineer Role Categories:</w:t>
      </w:r>
      <w:r>
        <w:t xml:space="preserve"> </w:t>
      </w:r>
      <w:r>
        <w:t xml:space="preserve">Launch dedicated streams for emerging specializations (AI/ML Engineering, Quantum Computing Applications, Blockchain Infrastructure) – anticipated to capture 30% of high-growth Toronto tech market by Q2 2024.</w:t>
      </w:r>
    </w:p>
    <w:p>
      <w:pPr>
        <w:numPr>
          <w:ilvl w:val="0"/>
          <w:numId w:val="1004"/>
        </w:numPr>
        <w:pStyle w:val="Compact"/>
      </w:pPr>
      <w:r>
        <w:rPr>
          <w:bCs/>
          <w:b/>
        </w:rPr>
        <w:t xml:space="preserve">Implement Competitive Retention Metrics:</w:t>
      </w:r>
      <w:r>
        <w:t xml:space="preserve"> </w:t>
      </w:r>
      <w:r>
        <w:t xml:space="preserve">Develop a Software Engineer retention scorecard for clients tracking professional development opportunities and career pathing. This aligns with our Sales Report data showing that companies with formal progression paths have 38% lower attrition.</w:t>
      </w:r>
    </w:p>
    <w:bookmarkEnd w:id="25"/>
    <w:bookmarkStart w:id="26" w:name="vii.-conclusion"/>
    <w:p>
      <w:pPr>
        <w:pStyle w:val="Heading2"/>
      </w:pPr>
      <w:r>
        <w:t xml:space="preserve">VII. Conclusion</w:t>
      </w:r>
    </w:p>
    <w:p>
      <w:pPr>
        <w:pStyle w:val="FirstParagraph"/>
      </w:pPr>
      <w:r>
        <w:t xml:space="preserve">This Sales Report unequivocally demonstrates how strategic recruitment of the Software Engineer talent segment is fueling growth in Canada Toronto's technology ecosystem. Our Q3 performance establishes a new benchmark for specialized tech recruitment in this market, with the Software Engineer placement rate now exceeding national averages by 57%. As we enter Q4, our focus remains on deepening our Canada Toronto presence through community partnerships and innovative talent development – ensuring that every successful Software Engineer placement directly contributes to both client success and regional economic growth. The data is clear: mastering the recruitment of the right Software Engineer in Canada Toronto isn't just a sales strategy; it's the cornerstone of sustainable market leadership.</w:t>
      </w:r>
    </w:p>
    <w:p>
      <w:pPr>
        <w:pStyle w:val="BodyText"/>
      </w:pPr>
      <w:r>
        <w:rPr>
          <w:bCs/>
          <w:b/>
        </w:rPr>
        <w:t xml:space="preserve">Prepared By:</w:t>
      </w:r>
      <w:r>
        <w:t xml:space="preserve"> </w:t>
      </w:r>
      <w:r>
        <w:t xml:space="preserve">Global Talent Acquisition Division</w:t>
      </w:r>
      <w:r>
        <w:br/>
      </w:r>
      <w:r>
        <w:rPr>
          <w:bCs/>
          <w:b/>
        </w:rPr>
        <w:t xml:space="preserve">Contact:</w:t>
      </w:r>
      <w:r>
        <w:t xml:space="preserve"> </w:t>
      </w:r>
      <w:r>
        <w:t xml:space="preserve">talent@recruittechcanada.ca | +1 (416) 555-0198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Software Engineer Recruitment in Canada Toronto</dc:title>
  <dc:creator/>
  <dc:language>en</dc:language>
  <cp:keywords/>
  <dcterms:created xsi:type="dcterms:W3CDTF">2025-12-11T19:17:51Z</dcterms:created>
  <dcterms:modified xsi:type="dcterms:W3CDTF">2025-12-11T19:17:51Z</dcterms:modified>
</cp:coreProperties>
</file>

<file path=docProps/custom.xml><?xml version="1.0" encoding="utf-8"?>
<Properties xmlns="http://schemas.openxmlformats.org/officeDocument/2006/custom-properties" xmlns:vt="http://schemas.openxmlformats.org/officeDocument/2006/docPropsVTypes"/>
</file>