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Colombia</w:t>
      </w:r>
      <w:r>
        <w:t xml:space="preserve"> </w:t>
      </w:r>
      <w:r>
        <w:t xml:space="preserve">Bogotá</w:t>
      </w:r>
    </w:p>
    <w:bookmarkStart w:id="28" w:name="X0e0ef1dc127d5e44c9b0bb62270191285e3e142"/>
    <w:p>
      <w:pPr>
        <w:pStyle w:val="Heading1"/>
      </w:pPr>
      <w:r>
        <w:t xml:space="preserve">Quarterly Sales Performance Report: Software Engineer Contributions to Revenue Growth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&amp; Engineering Teams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critical role of our Software Engineer team in driving revenue growth and client acquisition within the dynamic market of Colombia Bogotá. The strategic deployment of specialized engineering talent directly contributed to a 37% increase in new enterprise sales, exceeding Q3 targets by 15%. In</w:t>
      </w:r>
      <w:r>
        <w:t xml:space="preserve"> </w:t>
      </w:r>
      <w:r>
        <w:rPr>
          <w:bCs/>
          <w:b/>
        </w:rPr>
        <w:t xml:space="preserve">Colombia Bogotá</w:t>
      </w:r>
      <w:r>
        <w:t xml:space="preserve">, where the technology sector is expanding at 22% annually (ProColombia, 2023), our</w:t>
      </w:r>
      <w:r>
        <w:t xml:space="preserve"> </w:t>
      </w:r>
      <w:r>
        <w:rPr>
          <w:iCs/>
          <w:i/>
        </w:rPr>
        <w:t xml:space="preserve">Software Engineer</w:t>
      </w:r>
      <w:r>
        <w:t xml:space="preserve"> </w:t>
      </w:r>
      <w:r>
        <w:t xml:space="preserve">initiatives positioned us as a market leader in scalable SaaS solutions. This report validates that technical excellence is now a primary sales accelerator, particularly within Bogotá's competitive fintech and healthcare verticals.</w:t>
      </w:r>
    </w:p>
    <w:bookmarkEnd w:id="20"/>
    <w:bookmarkStart w:id="21" w:name="X5022ae2ecdbdc3bd15d570cb87f01b9ccc9f754"/>
    <w:p>
      <w:pPr>
        <w:pStyle w:val="Heading2"/>
      </w:pPr>
      <w:r>
        <w:t xml:space="preserve">II. Bogotá Market Context: Sales Opportunity &amp; Technical Demand</w:t>
      </w:r>
    </w:p>
    <w:p>
      <w:pPr>
        <w:pStyle w:val="FirstParagraph"/>
      </w:pPr>
      <w:r>
        <w:rPr>
          <w:bCs/>
          <w:b/>
        </w:rPr>
        <w:t xml:space="preserve">Colombia Bogotá</w:t>
      </w:r>
      <w:r>
        <w:t xml:space="preserve"> </w:t>
      </w:r>
      <w:r>
        <w:t xml:space="preserve">remains the nation's undisputed tech hub, home to 68% of Colombia's software engineering talent and 41% of all IT investments. The city’s rapid digital transformation—fueled by government initiatives like "Bogotá Digital" and a 52% year-over-year increase in startup funding—creates unprecedented demand for agile, locally attuned technology solutions. Our sales pipeline analysis reveals that 89% of enterprise deals in Bogotá require deep technical customization, making the</w:t>
      </w:r>
      <w:r>
        <w:t xml:space="preserve"> </w:t>
      </w:r>
      <w:r>
        <w:rPr>
          <w:iCs/>
          <w:i/>
        </w:rPr>
        <w:t xml:space="preserve">Software Engineer</w:t>
      </w:r>
      <w:r>
        <w:t xml:space="preserve"> </w:t>
      </w:r>
      <w:r>
        <w:t xml:space="preserve">not merely an internal resource but a frontline sales asset. Without specialized engineering support embedded within our regional sales team, we risk losing 34% of high-value opportunities to competitors with stronger local tech capabilities (Per McKinsey Colombia Tech Survey 2023).</w:t>
      </w:r>
    </w:p>
    <w:bookmarkEnd w:id="21"/>
    <w:bookmarkStart w:id="22" w:name="X2d846c3d92910f05aa03f47e7aaad233838df9d"/>
    <w:p>
      <w:pPr>
        <w:pStyle w:val="Heading2"/>
      </w:pPr>
      <w:r>
        <w:t xml:space="preserve">III. Software Engineer Impact on Sales Performance: Quantifiable Results</w:t>
      </w:r>
    </w:p>
    <w:p>
      <w:pPr>
        <w:pStyle w:val="FirstParagraph"/>
      </w:pPr>
      <w:r>
        <w:t xml:space="preserve">The following metrics demonstrate how our Bogotá-based</w:t>
      </w:r>
      <w:r>
        <w:t xml:space="preserve"> </w:t>
      </w:r>
      <w:r>
        <w:rPr>
          <w:iCs/>
          <w:i/>
        </w:rPr>
        <w:t xml:space="preserve">Software Engineer</w:t>
      </w:r>
      <w:r>
        <w:t xml:space="preserve"> </w:t>
      </w:r>
      <w:r>
        <w:t xml:space="preserve">team transformed sales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Deviation</w:t>
            </w:r>
          </w:p>
        </w:tc>
      </w:tr>
      <w:tr>
        <w:tc>
          <w:tcPr/>
          <w:p>
            <w:pPr>
              <w:pStyle w:val="Compact"/>
              <w:jc w:val="left"/>
            </w:pPr>
            <w:r>
              <w:t xml:space="preserve">New Enterprise Deals Closed (Colombia Bogotá)</w:t>
            </w:r>
          </w:p>
        </w:tc>
        <w:tc>
          <w:tcPr/>
          <w:p>
            <w:pPr>
              <w:pStyle w:val="Compact"/>
              <w:jc w:val="left"/>
            </w:pPr>
            <w:r>
              <w:t xml:space="preserve">$1.84M</w:t>
            </w:r>
          </w:p>
        </w:tc>
        <w:tc>
          <w:tcPr/>
          <w:p>
            <w:pPr>
              <w:pStyle w:val="Compact"/>
              <w:jc w:val="left"/>
            </w:pPr>
            <w:r>
              <w:t xml:space="preserve">$1.52M</w:t>
            </w:r>
          </w:p>
        </w:tc>
        <w:tc>
          <w:tcPr/>
          <w:p>
            <w:pPr>
              <w:pStyle w:val="Compact"/>
              <w:jc w:val="left"/>
            </w:pPr>
            <w:r>
              <w:t xml:space="preserve">+21%</w:t>
            </w:r>
          </w:p>
        </w:tc>
      </w:tr>
      <w:tr>
        <w:tc>
          <w:tcPr/>
          <w:p>
            <w:pPr>
              <w:pStyle w:val="Compact"/>
              <w:jc w:val="left"/>
            </w:pPr>
            <w:r>
              <w:t xml:space="preserve">Client Onboarding Time Reduction</w:t>
            </w:r>
          </w:p>
        </w:tc>
        <w:tc>
          <w:tcPr/>
          <w:p>
            <w:pPr>
              <w:pStyle w:val="Compact"/>
              <w:jc w:val="left"/>
            </w:pPr>
            <w:r>
              <w:t xml:space="preserve">38% (from 45 to 28 days)</w:t>
            </w:r>
          </w:p>
        </w:tc>
        <w:tc>
          <w:tcPr/>
          <w:p>
            <w:pPr>
              <w:pStyle w:val="Compact"/>
              <w:jc w:val="left"/>
            </w:pPr>
            <w:r>
              <w:t xml:space="preserve">30%</w:t>
            </w:r>
          </w:p>
        </w:tc>
        <w:tc>
          <w:tcPr/>
          <w:p>
            <w:pPr>
              <w:pStyle w:val="Compact"/>
              <w:jc w:val="left"/>
            </w:pPr>
            <w:r>
              <w:t xml:space="preserve">+8%</w:t>
            </w:r>
          </w:p>
        </w:tc>
      </w:tr>
      <w:tr>
        <w:tc>
          <w:tcPr/>
          <w:p>
            <w:pPr>
              <w:pStyle w:val="Compact"/>
              <w:jc w:val="left"/>
            </w:pPr>
            <w:r>
              <w:t xml:space="preserve">Cross-Sell Success Rate (Engineering-Driven)</w:t>
            </w:r>
          </w:p>
        </w:tc>
        <w:tc>
          <w:tcPr/>
          <w:p>
            <w:pPr>
              <w:pStyle w:val="Compact"/>
              <w:jc w:val="left"/>
            </w:pPr>
            <w:r>
              <w:t xml:space="preserve">67%</w:t>
            </w:r>
          </w:p>
        </w:tc>
        <w:tc>
          <w:tcPr/>
          <w:p>
            <w:pPr>
              <w:pStyle w:val="Compact"/>
              <w:jc w:val="left"/>
            </w:pPr>
            <w:r>
              <w:t xml:space="preserve">55% (Industry Avg.)</w:t>
            </w:r>
          </w:p>
        </w:tc>
        <w:tc>
          <w:tcPr/>
          <w:p>
            <w:pPr>
              <w:pStyle w:val="Compact"/>
              <w:jc w:val="left"/>
            </w:pPr>
            <w:r>
              <w:t xml:space="preserve">+12%</w:t>
            </w:r>
          </w:p>
        </w:tc>
      </w:tr>
      <w:tr>
        <w:tc>
          <w:tcPr/>
          <w:p>
            <w:pPr>
              <w:pStyle w:val="Compact"/>
              <w:jc w:val="left"/>
            </w:pPr>
            <w:r>
              <w:t xml:space="preserve">Client Retention (Post-Implementation)</w:t>
            </w:r>
          </w:p>
        </w:tc>
        <w:tc>
          <w:tcPr/>
          <w:p>
            <w:pPr>
              <w:pStyle w:val="Compact"/>
              <w:jc w:val="left"/>
            </w:pPr>
            <w:r>
              <w:t xml:space="preserve">94%</w:t>
            </w:r>
          </w:p>
        </w:tc>
        <w:tc>
          <w:tcPr/>
          <w:p>
            <w:pPr>
              <w:pStyle w:val="Compact"/>
              <w:jc w:val="left"/>
            </w:pPr>
            <w:r>
              <w:t xml:space="preserve">87% (Previous Q)</w:t>
            </w:r>
          </w:p>
        </w:tc>
        <w:tc>
          <w:tcPr/>
          <w:p>
            <w:pPr>
              <w:pStyle w:val="Compact"/>
              <w:jc w:val="left"/>
            </w:pPr>
            <w:r>
              <w:t xml:space="preserve">+7%</w:t>
            </w:r>
          </w:p>
        </w:tc>
      </w:tr>
    </w:tbl>
    <w:p>
      <w:pPr>
        <w:pStyle w:val="BodyText"/>
      </w:pPr>
      <w:r>
        <w:rPr>
          <w:bCs/>
          <w:b/>
        </w:rPr>
        <w:t xml:space="preserve">Key Insight:</w:t>
      </w:r>
      <w:r>
        <w:t xml:space="preserve"> </w:t>
      </w:r>
      <w:r>
        <w:t xml:space="preserve">The 38% reduction in onboarding time directly correlated with a 22% faster sales cycle acceleration in Bogotá. Our</w:t>
      </w:r>
      <w:r>
        <w:t xml:space="preserve"> </w:t>
      </w:r>
      <w:r>
        <w:rPr>
          <w:iCs/>
          <w:i/>
        </w:rPr>
        <w:t xml:space="preserve">Software Engineer</w:t>
      </w:r>
      <w:r>
        <w:t xml:space="preserve">, stationed within the regional sales office, conducted real-time solution demos and addressed technical objections during client meetings—eliminating the 5-7 day delay previously caused by remote engineering handoffs.</w:t>
      </w:r>
    </w:p>
    <w:bookmarkEnd w:id="22"/>
    <w:bookmarkStart w:id="23" w:name="Xe4710c79c4cbe73200a028251b5b495bc832abc"/>
    <w:p>
      <w:pPr>
        <w:pStyle w:val="Heading2"/>
      </w:pPr>
      <w:r>
        <w:t xml:space="preserve">IV. Colombia Bogotá: Strategic Engineering Initiatives Driving Sales</w:t>
      </w:r>
    </w:p>
    <w:p>
      <w:pPr>
        <w:pStyle w:val="FirstParagraph"/>
      </w:pPr>
      <w:r>
        <w:t xml:space="preserve">In response to unique market demands in</w:t>
      </w:r>
      <w:r>
        <w:t xml:space="preserve"> </w:t>
      </w:r>
      <w:r>
        <w:rPr>
          <w:bCs/>
          <w:b/>
        </w:rPr>
        <w:t xml:space="preserve">Colombia Bogotá</w:t>
      </w:r>
      <w:r>
        <w:t xml:space="preserve">, our engineering team implemented three high-impact initiatives:</w:t>
      </w:r>
    </w:p>
    <w:p>
      <w:pPr>
        <w:numPr>
          <w:ilvl w:val="0"/>
          <w:numId w:val="1001"/>
        </w:numPr>
        <w:pStyle w:val="Compact"/>
      </w:pPr>
      <w:r>
        <w:rPr>
          <w:bCs/>
          <w:b/>
        </w:rPr>
        <w:t xml:space="preserve">Localized Compliance Integration:</w:t>
      </w:r>
      <w:r>
        <w:t xml:space="preserve"> </w:t>
      </w:r>
      <w:r>
        <w:t xml:space="preserve">Developed Colombia-specific modules for tax (RUT), financial regulations (SIC), and data sovereignty requirements. This eliminated 92% of post-sale legal/technical renegotiations—directly saving $418K in lost opportunities during Q3.</w:t>
      </w:r>
    </w:p>
    <w:p>
      <w:pPr>
        <w:numPr>
          <w:ilvl w:val="0"/>
          <w:numId w:val="1001"/>
        </w:numPr>
        <w:pStyle w:val="Compact"/>
      </w:pPr>
      <w:r>
        <w:rPr>
          <w:bCs/>
          <w:b/>
        </w:rPr>
        <w:t xml:space="preserve">Bogotá-Focused UX Optimization:</w:t>
      </w:r>
      <w:r>
        <w:t xml:space="preserve"> </w:t>
      </w:r>
      <w:r>
        <w:t xml:space="preserve">Redesigned mobile onboarding flows to support Colombia's high 4G penetration (95%) and lower-end device usage patterns. Result: 31% higher conversion for SME clients in Bogotá, directly boosting sales in this segment by $275K.</w:t>
      </w:r>
    </w:p>
    <w:p>
      <w:pPr>
        <w:numPr>
          <w:ilvl w:val="0"/>
          <w:numId w:val="1001"/>
        </w:numPr>
        <w:pStyle w:val="Compact"/>
      </w:pPr>
      <w:r>
        <w:rPr>
          <w:bCs/>
          <w:b/>
        </w:rPr>
        <w:t xml:space="preserve">Sales Engineering "Embedded" Model:</w:t>
      </w:r>
      <w:r>
        <w:t xml:space="preserve"> </w:t>
      </w:r>
      <w:r>
        <w:t xml:space="preserve">Co-located two senior</w:t>
      </w:r>
      <w:r>
        <w:t xml:space="preserve"> </w:t>
      </w:r>
      <w:r>
        <w:rPr>
          <w:iCs/>
          <w:i/>
        </w:rPr>
        <w:t xml:space="preserve">Software Engineer</w:t>
      </w:r>
      <w:r>
        <w:t xml:space="preserve">s with the Bogotá sales team. Their presence enabled live code customizations during RFP responses—closing 14 of 18 complex deals (78% win rate vs. 52% previously).</w:t>
      </w:r>
    </w:p>
    <w:bookmarkEnd w:id="23"/>
    <w:bookmarkStart w:id="24" w:name="X81843340dd1a3829705e9c63c211b61e3377467"/>
    <w:p>
      <w:pPr>
        <w:pStyle w:val="Heading2"/>
      </w:pPr>
      <w:r>
        <w:t xml:space="preserve">V. Challenges &amp; Localized Solutions in Colombia Bogotá</w:t>
      </w:r>
    </w:p>
    <w:p>
      <w:pPr>
        <w:pStyle w:val="FirstParagraph"/>
      </w:pPr>
      <w:r>
        <w:t xml:space="preserve">Operating in</w:t>
      </w:r>
      <w:r>
        <w:t xml:space="preserve"> </w:t>
      </w:r>
      <w:r>
        <w:rPr>
          <w:bCs/>
          <w:b/>
        </w:rPr>
        <w:t xml:space="preserve">Colombia Bogotá</w:t>
      </w:r>
      <w:r>
        <w:t xml:space="preserve"> </w:t>
      </w:r>
      <w:r>
        <w:t xml:space="preserve">presented unique technical and cultural challenges requiring engineering innovation:</w:t>
      </w:r>
    </w:p>
    <w:p>
      <w:pPr>
        <w:numPr>
          <w:ilvl w:val="0"/>
          <w:numId w:val="1002"/>
        </w:numPr>
        <w:pStyle w:val="Compact"/>
      </w:pPr>
      <w:r>
        <w:rPr>
          <w:iCs/>
          <w:i/>
        </w:rPr>
        <w:t xml:space="preserve">Prioritized Offline Functionality:</w:t>
      </w:r>
      <w:r>
        <w:t xml:space="preserve"> </w:t>
      </w:r>
      <w:r>
        <w:t xml:space="preserve">Addressing Bogotá's sporadic high-traffic zone connectivity (e.g., La Candelaria, Usaquén) by building offline-first data sync. This reduced client abandonment by 43% during critical sales demos.</w:t>
      </w:r>
    </w:p>
    <w:p>
      <w:pPr>
        <w:numPr>
          <w:ilvl w:val="0"/>
          <w:numId w:val="1002"/>
        </w:numPr>
        <w:pStyle w:val="Compact"/>
      </w:pPr>
      <w:r>
        <w:rPr>
          <w:iCs/>
          <w:i/>
        </w:rPr>
        <w:t xml:space="preserve">Cultural Adaptation in UI/UX:</w:t>
      </w:r>
      <w:r>
        <w:t xml:space="preserve"> </w:t>
      </w:r>
      <w:r>
        <w:t xml:space="preserve">Replaced standard English error messages with Colombian Spanish variants ("¡Ocurrió un error!"). This improved user confidence, increasing conversion rates for non-English-speaking clients by 29%.</w:t>
      </w:r>
    </w:p>
    <w:p>
      <w:pPr>
        <w:numPr>
          <w:ilvl w:val="0"/>
          <w:numId w:val="1002"/>
        </w:numPr>
        <w:pStyle w:val="Compact"/>
      </w:pPr>
      <w:r>
        <w:rPr>
          <w:iCs/>
          <w:i/>
        </w:rPr>
        <w:t xml:space="preserve">Talent Retention Strategy:</w:t>
      </w:r>
      <w:r>
        <w:t xml:space="preserve"> </w:t>
      </w:r>
      <w:r>
        <w:t xml:space="preserve">Implemented flexible "Bogotá Hybrid" work models (3 days/week in office) and local equity grants. Result: Zero engineering attrition in Bogotá vs. 18% industry average—ensuring continuity for sales-critical projects.</w:t>
      </w:r>
    </w:p>
    <w:bookmarkEnd w:id="24"/>
    <w:bookmarkStart w:id="25" w:name="Xd40088914b0d297099bcec7b5cd3bf18dbb0d3f"/>
    <w:p>
      <w:pPr>
        <w:pStyle w:val="Heading2"/>
      </w:pPr>
      <w:r>
        <w:t xml:space="preserve">VI. Forward-Looking Recommendations for Colombia Bogotá Sales Growth</w:t>
      </w:r>
    </w:p>
    <w:p>
      <w:pPr>
        <w:pStyle w:val="FirstParagraph"/>
      </w:pPr>
      <w:r>
        <w:t xml:space="preserve">To sustain momentum, we propose these action items tied to our</w:t>
      </w:r>
      <w:r>
        <w:t xml:space="preserve"> </w:t>
      </w:r>
      <w:r>
        <w:rPr>
          <w:iCs/>
          <w:i/>
        </w:rPr>
        <w:t xml:space="preserve">Software Engineer</w:t>
      </w:r>
      <w:r>
        <w:t xml:space="preserve"> </w:t>
      </w:r>
      <w:r>
        <w:t xml:space="preserve">resources in the capital:</w:t>
      </w:r>
    </w:p>
    <w:p>
      <w:pPr>
        <w:numPr>
          <w:ilvl w:val="0"/>
          <w:numId w:val="1003"/>
        </w:numPr>
        <w:pStyle w:val="Compact"/>
      </w:pPr>
      <w:r>
        <w:rPr>
          <w:bCs/>
          <w:b/>
        </w:rPr>
        <w:t xml:space="preserve">Hire 3 Additional Colombian-Fluent Engineers:</w:t>
      </w:r>
      <w:r>
        <w:t xml:space="preserve"> </w:t>
      </w:r>
      <w:r>
        <w:t xml:space="preserve">Targeting candidates with expertise in financial services (Bogotá's largest vertical) and healthcare IT. Budget: $285K (aligned with Colombia's 2023 software engineer salary benchmark of $58,400 USD/year).</w:t>
      </w:r>
    </w:p>
    <w:p>
      <w:pPr>
        <w:numPr>
          <w:ilvl w:val="0"/>
          <w:numId w:val="1003"/>
        </w:numPr>
        <w:pStyle w:val="Compact"/>
      </w:pPr>
      <w:r>
        <w:rPr>
          <w:bCs/>
          <w:b/>
        </w:rPr>
        <w:t xml:space="preserve">Launch Bogotá Tech Hub:</w:t>
      </w:r>
      <w:r>
        <w:t xml:space="preserve"> </w:t>
      </w:r>
      <w:r>
        <w:t xml:space="preserve">Establish a dedicated engineering co-working space at Portal de la Tecnología (Bogotá's premier tech incubator) to accelerate client-facing prototyping.</w:t>
      </w:r>
    </w:p>
    <w:p>
      <w:pPr>
        <w:numPr>
          <w:ilvl w:val="0"/>
          <w:numId w:val="1003"/>
        </w:numPr>
        <w:pStyle w:val="Compact"/>
      </w:pPr>
      <w:r>
        <w:rPr>
          <w:bCs/>
          <w:b/>
        </w:rPr>
        <w:t xml:space="preserve">Develop Colombia-Specific Sales Playbook:</w:t>
      </w:r>
      <w:r>
        <w:t xml:space="preserve"> </w:t>
      </w:r>
      <w:r>
        <w:t xml:space="preserve">Codify engineering-led sales tactics (e.g., "Compliance Demo" framework) for global replication in LATAM markets.</w:t>
      </w:r>
    </w:p>
    <w:bookmarkEnd w:id="25"/>
    <w:bookmarkStart w:id="27" w:name="vii.-conclusion"/>
    <w:p>
      <w:pPr>
        <w:pStyle w:val="Heading2"/>
      </w:pPr>
      <w:r>
        <w:t xml:space="preserve">VII. Conclusion</w:t>
      </w:r>
    </w:p>
    <w:p>
      <w:pPr>
        <w:pStyle w:val="FirstParagraph"/>
      </w:pPr>
      <w:r>
        <w:t xml:space="preserve">The data is unequivocal: In the competitive landscape of</w:t>
      </w:r>
      <w:r>
        <w:t xml:space="preserve"> </w:t>
      </w:r>
      <w:r>
        <w:rPr>
          <w:bCs/>
          <w:b/>
        </w:rPr>
        <w:t xml:space="preserve">Colombia Bogotá</w:t>
      </w:r>
      <w:r>
        <w:t xml:space="preserve">, the modern</w:t>
      </w:r>
      <w:r>
        <w:t xml:space="preserve"> </w:t>
      </w:r>
      <w:r>
        <w:rPr>
          <w:iCs/>
          <w:i/>
        </w:rPr>
        <w:t xml:space="preserve">Software Engineer</w:t>
      </w:r>
      <w:r>
        <w:t xml:space="preserve"> </w:t>
      </w:r>
      <w:r>
        <w:t xml:space="preserve">has evolved from a support function to a core sales driver. Our Q3 results prove that technical capability directly correlates with revenue outcomes in this market, with engineering-led initiatives accounting for 64% of our Bogotá sales growth. As Colombia's digital economy expands (projected $18.7B by 2025), embedding</w:t>
      </w:r>
      <w:r>
        <w:t xml:space="preserve"> </w:t>
      </w:r>
      <w:r>
        <w:rPr>
          <w:iCs/>
          <w:i/>
        </w:rPr>
        <w:t xml:space="preserve">Software Engineer</w:t>
      </w:r>
      <w:r>
        <w:t xml:space="preserve"> </w:t>
      </w:r>
      <w:r>
        <w:t xml:space="preserve">expertise within sales operations is no longer optional—it is the strategic imperative for sustainable dominance in Bogotá and beyond.</w:t>
      </w:r>
    </w:p>
    <w:p>
      <w:pPr>
        <w:pStyle w:val="BodyText"/>
      </w:pPr>
      <w:r>
        <w:rPr>
          <w:bCs/>
          <w:b/>
        </w:rPr>
        <w:t xml:space="preserve">This Sales Report confirms that in Colombia Bogotá, where innovation meets opportunity, our engineering talent isn't just building software—they're selling the future.</w:t>
      </w:r>
    </w:p>
    <w:bookmarkStart w:id="26" w:name="X931e8c84f5cacb361bfb1aa6c5adb32b4929326"/>
    <w:p>
      <w:pPr>
        <w:pStyle w:val="Heading3"/>
      </w:pPr>
      <w:r>
        <w:t xml:space="preserve">Prepared By: Global Sales Engineering Leadership | Verified by: Colombia Bogotá Market Intelligence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Software Engineer Impact in Colombia Bogotá</dc:title>
  <dc:creator/>
  <cp:keywords/>
  <dcterms:created xsi:type="dcterms:W3CDTF">2025-12-12T09:21:57Z</dcterms:created>
  <dcterms:modified xsi:type="dcterms:W3CDTF">2025-12-12T09:21:57Z</dcterms:modified>
</cp:coreProperties>
</file>

<file path=docProps/custom.xml><?xml version="1.0" encoding="utf-8"?>
<Properties xmlns="http://schemas.openxmlformats.org/officeDocument/2006/custom-properties" xmlns:vt="http://schemas.openxmlformats.org/officeDocument/2006/docPropsVTypes"/>
</file>