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33" w:name="X75947c97dfd308daff08c158addf194b62d7597"/>
    <w:p>
      <w:pPr>
        <w:pStyle w:val="Heading1"/>
      </w:pPr>
      <w:r>
        <w:t xml:space="preserve">Quarterly Sales Performance Report: Software Engineer Recruitment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 (July - September)</w:t>
      </w:r>
    </w:p>
    <w:p>
      <w:pPr>
        <w:pStyle w:val="BodyText"/>
      </w:pPr>
      <w:r>
        <w:t xml:space="preserve">This comprehensive Sales Report details the recruitment performance for Software Engineer positions across the Frankfurt metropolitan area, Germany's premier financial and technology hub. As Europe's largest financial center and a rapidly growing tech ecosystem, Frankfurt represents a critical market for our global talent acquisition strategy. The following analysis demonstrates how strategic positioning in Germany Frankfurt has driven exceptional results in securing top-tier engineering talent.</w:t>
      </w:r>
    </w:p>
    <w:bookmarkStart w:id="20" w:name="Xc6166c4cf138561572a8f982134dd6c91607203"/>
    <w:p>
      <w:pPr>
        <w:pStyle w:val="Heading2"/>
      </w:pPr>
      <w:r>
        <w:t xml:space="preserve">Executive Summary: Record Demand in Frankfurt's Tech Landscape</w:t>
      </w:r>
    </w:p>
    <w:p>
      <w:pPr>
        <w:pStyle w:val="FirstParagraph"/>
      </w:pPr>
      <w:r>
        <w:t xml:space="preserve">Q3 2023 witnessed unprecedented demand for Software Engineers across Germany Frankfurt, with a 47% year-over-year increase in client requisitions. Our team successfully placed 187 high-caliber Software Engineers into roles at leading financial institutions, fintech startups, and enterprise tech companies within the Frankfurt region. This represents a 32% growth in placement volume compared to Q2 2023, cementing Germany Frankfurt as our most productive market in continental Europe.</w:t>
      </w:r>
    </w:p>
    <w:p>
      <w:pPr>
        <w:pStyle w:val="BodyText"/>
      </w:pPr>
      <w:r>
        <w:rPr>
          <w:bCs/>
          <w:b/>
        </w:rPr>
        <w:t xml:space="preserve">Key Achievement:</w:t>
      </w:r>
      <w:r>
        <w:t xml:space="preserve"> </w:t>
      </w:r>
      <w:r>
        <w:t xml:space="preserve">Secured 94% client retention rate with major Frankfurt-based entities including Deutsche Bank, Commerzbank, and emerging scale-ups like N26 and Fidor Bank. Our specialized approach to the Germany Frankfurt market has positioned us as the preferred recruitment partner for complex engineering roles requiring German language proficiency and local market expertise.</w:t>
      </w:r>
    </w:p>
    <w:bookmarkEnd w:id="20"/>
    <w:bookmarkStart w:id="22" w:name="X12df7944394ade4ba7b26c224eaa3caeba3f33b"/>
    <w:p>
      <w:pPr>
        <w:pStyle w:val="Heading2"/>
      </w:pPr>
      <w:r>
        <w:t xml:space="preserve">Market Analysis: Why Germany Frankfurt Dominates Engineering Talent Demand</w:t>
      </w:r>
    </w:p>
    <w:p>
      <w:pPr>
        <w:pStyle w:val="FirstParagraph"/>
      </w:pPr>
      <w:r>
        <w:t xml:space="preserve">Frankfurt's unique ecosystem drives exceptional demand for Software Engineers. As Europe's central banking hub with 75% of German financial institutions headquartered in the region, Frankfurt requires continuous digital transformation. Our research confirms that 89% of German enterprises prioritize local engineering talent acquisition due to regulatory compliance needs (MiFID II, GDPR) and cultural alignment requirements.</w:t>
      </w:r>
    </w:p>
    <w:bookmarkStart w:id="21" w:name="competitive-landscape-market-positioning"/>
    <w:p>
      <w:pPr>
        <w:pStyle w:val="Heading3"/>
      </w:pPr>
      <w:r>
        <w:t xml:space="preserve">Competitive Landscape &amp; Market Positioning</w:t>
      </w:r>
    </w:p>
    <w:p>
      <w:pPr>
        <w:pStyle w:val="FirstParagraph"/>
      </w:pPr>
      <w:r>
        <w:t xml:space="preserve">The Germany Frankfurt market has seen a 61% surge in Software Engineer job postings since 2020, outpacing other German cities by 2.7x. Our Sales Report identifies three critical success factors:</w:t>
      </w:r>
    </w:p>
    <w:p>
      <w:pPr>
        <w:numPr>
          <w:ilvl w:val="0"/>
          <w:numId w:val="1001"/>
        </w:numPr>
        <w:pStyle w:val="Compact"/>
      </w:pPr>
      <w:r>
        <w:rPr>
          <w:bCs/>
          <w:b/>
        </w:rPr>
        <w:t xml:space="preserve">Regulatory Expertise:</w:t>
      </w:r>
      <w:r>
        <w:t xml:space="preserve"> </w:t>
      </w:r>
      <w:r>
        <w:t xml:space="preserve">Candidates with German financial compliance experience command 35% higher salaries</w:t>
      </w:r>
    </w:p>
    <w:p>
      <w:pPr>
        <w:numPr>
          <w:ilvl w:val="0"/>
          <w:numId w:val="1001"/>
        </w:numPr>
        <w:pStyle w:val="Compact"/>
      </w:pPr>
      <w:r>
        <w:rPr>
          <w:bCs/>
          <w:b/>
        </w:rPr>
        <w:t xml:space="preserve">Cultural Integration:</w:t>
      </w:r>
      <w:r>
        <w:t xml:space="preserve"> </w:t>
      </w:r>
      <w:r>
        <w:t xml:space="preserve">Local language proficiency (German) is non-negotiable for 92% of Frankfurt-based engineering roles</w:t>
      </w:r>
    </w:p>
    <w:p>
      <w:pPr>
        <w:numPr>
          <w:ilvl w:val="0"/>
          <w:numId w:val="1001"/>
        </w:numPr>
        <w:pStyle w:val="Compact"/>
      </w:pPr>
      <w:r>
        <w:rPr>
          <w:bCs/>
          <w:b/>
        </w:rPr>
        <w:t xml:space="preserve">Tech Stack Specialization:</w:t>
      </w:r>
      <w:r>
        <w:t xml:space="preserve"> </w:t>
      </w:r>
      <w:r>
        <w:t xml:space="preserve">Demand for cloud engineers (AWS/Azure), fintech API specialists, and AI/ML developers grew by 76% YoY</w:t>
      </w:r>
    </w:p>
    <w:p>
      <w:pPr>
        <w:pStyle w:val="FirstParagraph"/>
      </w:pPr>
      <w:r>
        <w:t xml:space="preserve">This strategic understanding of Germany Frankfurt's specific needs has allowed us to develop targeted recruitment pipelines that directly address client pain points.</w:t>
      </w:r>
    </w:p>
    <w:bookmarkEnd w:id="21"/>
    <w:bookmarkEnd w:id="22"/>
    <w:bookmarkStart w:id="25" w:name="X2c1aa29277b20aeb5b648ff1f06a88868ceab48"/>
    <w:p>
      <w:pPr>
        <w:pStyle w:val="Heading2"/>
      </w:pPr>
      <w:r>
        <w:t xml:space="preserve">Sales Performance Breakdown: Germany Frankfurt Market Segment Analysis</w:t>
      </w:r>
    </w:p>
    <w:bookmarkStart w:id="23" w:name="by-industry-vertical-q3-2023"/>
    <w:p>
      <w:pPr>
        <w:pStyle w:val="Heading3"/>
      </w:pPr>
      <w:r>
        <w:t xml:space="preserve">By Industry Vertical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w:t>
            </w:r>
          </w:p>
        </w:tc>
        <w:tc>
          <w:tcPr/>
          <w:p>
            <w:pPr>
              <w:pStyle w:val="Compact"/>
              <w:jc w:val="left"/>
            </w:pPr>
            <w:r>
              <w:t xml:space="preserve">Placements</w:t>
            </w:r>
          </w:p>
        </w:tc>
        <w:tc>
          <w:tcPr/>
          <w:p>
            <w:pPr>
              <w:pStyle w:val="Compact"/>
              <w:jc w:val="left"/>
            </w:pPr>
            <w:r>
              <w:t xml:space="preserve">% of Total Frankfurt Sales</w:t>
            </w:r>
          </w:p>
        </w:tc>
        <w:tc>
          <w:tcPr/>
          <w:p>
            <w:pPr>
              <w:pStyle w:val="Compact"/>
              <w:jc w:val="left"/>
            </w:pPr>
            <w:r>
              <w:t xml:space="preserve">YoY Growth</w:t>
            </w:r>
          </w:p>
        </w:tc>
      </w:tr>
      <w:tr>
        <w:tc>
          <w:tcPr/>
          <w:p>
            <w:pPr>
              <w:pStyle w:val="Compact"/>
              <w:jc w:val="left"/>
            </w:pPr>
            <w:r>
              <w:t xml:space="preserve">Finance &amp; Banking (e.g., Deutsche Bank, DZ Bank)</w:t>
            </w:r>
          </w:p>
        </w:tc>
        <w:tc>
          <w:tcPr/>
          <w:p>
            <w:pPr>
              <w:pStyle w:val="Compact"/>
              <w:jc w:val="left"/>
            </w:pPr>
            <w:r>
              <w:t xml:space="preserve">102</w:t>
            </w:r>
          </w:p>
        </w:tc>
        <w:tc>
          <w:tcPr/>
          <w:p>
            <w:pPr>
              <w:pStyle w:val="Compact"/>
              <w:jc w:val="left"/>
            </w:pPr>
            <w:r>
              <w:t xml:space="preserve">54.5%</w:t>
            </w:r>
          </w:p>
        </w:tc>
        <w:tc>
          <w:tcPr/>
          <w:p>
            <w:pPr>
              <w:pStyle w:val="Compact"/>
              <w:jc w:val="left"/>
            </w:pPr>
            <w:r>
              <w:t xml:space="preserve">38%</w:t>
            </w:r>
          </w:p>
        </w:tc>
      </w:tr>
      <w:tr>
        <w:tc>
          <w:tcPr/>
          <w:p>
            <w:pPr>
              <w:pStyle w:val="Compact"/>
              <w:jc w:val="left"/>
            </w:pPr>
            <w:r>
              <w:t xml:space="preserve">Fintech Startups (e.g., N26, Monzo)</w:t>
            </w:r>
          </w:p>
        </w:tc>
        <w:tc>
          <w:tcPr/>
          <w:p>
            <w:pPr>
              <w:pStyle w:val="Compact"/>
              <w:jc w:val="left"/>
            </w:pPr>
            <w:r>
              <w:t xml:space="preserve">47</w:t>
            </w:r>
          </w:p>
        </w:tc>
        <w:tc>
          <w:tcPr/>
          <w:p>
            <w:pPr>
              <w:pStyle w:val="Compact"/>
              <w:jc w:val="left"/>
            </w:pPr>
            <w:r>
              <w:t xml:space="preserve">25.1%</w:t>
            </w:r>
          </w:p>
        </w:tc>
        <w:tc>
          <w:tcPr/>
          <w:p>
            <w:pPr>
              <w:pStyle w:val="Compact"/>
              <w:jc w:val="left"/>
            </w:pPr>
            <w:r>
              <w:t xml:space="preserve">91%</w:t>
            </w:r>
          </w:p>
        </w:tc>
      </w:tr>
      <w:tr>
        <w:tc>
          <w:tcPr/>
          <w:p>
            <w:pPr>
              <w:pStyle w:val="Compact"/>
              <w:jc w:val="left"/>
            </w:pPr>
            <w:r>
              <w:t xml:space="preserve">Enterprise SaaS (e.g., SAP, Siemens)</w:t>
            </w:r>
          </w:p>
        </w:tc>
        <w:tc>
          <w:tcPr/>
          <w:p>
            <w:pPr>
              <w:pStyle w:val="Compact"/>
              <w:jc w:val="left"/>
            </w:pPr>
            <w:r>
              <w:t xml:space="preserve">38</w:t>
            </w:r>
          </w:p>
        </w:tc>
        <w:tc>
          <w:tcPr/>
          <w:p>
            <w:pPr>
              <w:pStyle w:val="Compact"/>
              <w:jc w:val="left"/>
            </w:pPr>
            <w:r>
              <w:t xml:space="preserve">20.3%</w:t>
            </w:r>
          </w:p>
        </w:tc>
        <w:tc>
          <w:tcPr/>
          <w:p>
            <w:pPr>
              <w:pStyle w:val="Compact"/>
              <w:jc w:val="left"/>
            </w:pPr>
            <w:r>
              <w:t xml:space="preserve">27%</w:t>
            </w:r>
          </w:p>
        </w:tc>
      </w:tr>
    </w:tbl>
    <w:bookmarkEnd w:id="23"/>
    <w:bookmarkStart w:id="24" w:name="X7ab02fd6a6bd8371155cbd44905ae9807906329"/>
    <w:p>
      <w:pPr>
        <w:pStyle w:val="Heading3"/>
      </w:pPr>
      <w:r>
        <w:t xml:space="preserve">Sales Metrics: Germany Frankfurt vs. European Average</w:t>
      </w:r>
    </w:p>
    <w:p>
      <w:pPr>
        <w:pStyle w:val="FirstParagraph"/>
      </w:pPr>
      <w:r>
        <w:rPr>
          <w:bCs/>
          <w:b/>
        </w:rPr>
        <w:t xml:space="preserve">Achievement:</w:t>
      </w:r>
      <w:r>
        <w:t xml:space="preserve"> </w:t>
      </w:r>
      <w:r>
        <w:t xml:space="preserve">Our Software Engineer placement success rate in Germany Frankfurt (86%) exceeds the European average (67%) by 19 percentage points. This margin is attributable to our localized recruitment strategy including partnerships with Technical University of Darmstadt and Goethe University Frankfurt talent pipelines.</w:t>
      </w:r>
    </w:p>
    <w:p>
      <w:pPr>
        <w:pStyle w:val="BodyText"/>
      </w:pPr>
      <w:r>
        <w:rPr>
          <w:bCs/>
          <w:b/>
        </w:rPr>
        <w:t xml:space="preserve">Revenue Impact:</w:t>
      </w:r>
      <w:r>
        <w:t xml:space="preserve"> </w:t>
      </w:r>
      <w:r>
        <w:t xml:space="preserve">The Frankfurt market contributed €3.2M in sales revenue (38% of total European Software Engineer placements), demonstrating the profitability of our Germany-specific approach.</w:t>
      </w:r>
    </w:p>
    <w:bookmarkEnd w:id="24"/>
    <w:bookmarkEnd w:id="25"/>
    <w:bookmarkStart w:id="28" w:name="X20e869a73ec3bc9508781631681483d6a8df78d"/>
    <w:p>
      <w:pPr>
        <w:pStyle w:val="Heading2"/>
      </w:pPr>
      <w:r>
        <w:t xml:space="preserve">Challenges &amp; Strategic Responses: Navigating Germany Frankfurt's Talent Market</w:t>
      </w:r>
    </w:p>
    <w:bookmarkStart w:id="26" w:name="X8e5245f26fd2645508c7e5ec9c01e575273c864"/>
    <w:p>
      <w:pPr>
        <w:pStyle w:val="Heading3"/>
      </w:pPr>
      <w:r>
        <w:t xml:space="preserve">Key Challenges Identified in Q3 Sales Report</w:t>
      </w:r>
    </w:p>
    <w:p>
      <w:pPr>
        <w:numPr>
          <w:ilvl w:val="0"/>
          <w:numId w:val="1002"/>
        </w:numPr>
        <w:pStyle w:val="Compact"/>
      </w:pPr>
      <w:r>
        <w:rPr>
          <w:bCs/>
          <w:b/>
        </w:rPr>
        <w:t xml:space="preserve">Talent Shortage:</w:t>
      </w:r>
      <w:r>
        <w:t xml:space="preserve"> </w:t>
      </w:r>
      <w:r>
        <w:t xml:space="preserve">68% of Frankfurt clients reported critical shortages in senior cloud engineers with German banking experience</w:t>
      </w:r>
    </w:p>
    <w:p>
      <w:pPr>
        <w:numPr>
          <w:ilvl w:val="0"/>
          <w:numId w:val="1002"/>
        </w:numPr>
        <w:pStyle w:val="Compact"/>
      </w:pPr>
      <w:r>
        <w:rPr>
          <w:bCs/>
          <w:b/>
        </w:rPr>
        <w:t xml:space="preserve">Competition:</w:t>
      </w:r>
      <w:r>
        <w:t xml:space="preserve"> </w:t>
      </w:r>
      <w:r>
        <w:t xml:space="preserve">Local recruitment firms increased rates by 22% to compete for top candidates</w:t>
      </w:r>
    </w:p>
    <w:p>
      <w:pPr>
        <w:numPr>
          <w:ilvl w:val="0"/>
          <w:numId w:val="1002"/>
        </w:numPr>
        <w:pStyle w:val="Compact"/>
      </w:pPr>
      <w:r>
        <w:rPr>
          <w:bCs/>
          <w:b/>
        </w:rPr>
        <w:t xml:space="preserve">Cultural Mismatch:</w:t>
      </w:r>
      <w:r>
        <w:t xml:space="preserve"> </w:t>
      </w:r>
      <w:r>
        <w:t xml:space="preserve">International candidates often lack understanding of German workplace norms (e.g., formal communication, work-life balance expectations)</w:t>
      </w:r>
    </w:p>
    <w:bookmarkEnd w:id="26"/>
    <w:bookmarkStart w:id="27" w:name="our-strategic-countermeasures"/>
    <w:p>
      <w:pPr>
        <w:pStyle w:val="Heading3"/>
      </w:pPr>
      <w:r>
        <w:t xml:space="preserve">Our Strategic Countermeasures</w:t>
      </w:r>
    </w:p>
    <w:p>
      <w:pPr>
        <w:pStyle w:val="FirstParagraph"/>
      </w:pPr>
      <w:r>
        <w:t xml:space="preserve">In response to these challenges, our Frankfurt sales team implemented three targeted initiatives that directly improved our Sales Report metrics:</w:t>
      </w:r>
    </w:p>
    <w:p>
      <w:pPr>
        <w:numPr>
          <w:ilvl w:val="0"/>
          <w:numId w:val="1003"/>
        </w:numPr>
        <w:pStyle w:val="Compact"/>
      </w:pPr>
      <w:r>
        <w:rPr>
          <w:bCs/>
          <w:b/>
        </w:rPr>
        <w:t xml:space="preserve">Localized Candidate Assessment:</w:t>
      </w:r>
      <w:r>
        <w:t xml:space="preserve"> </w:t>
      </w:r>
      <w:r>
        <w:t xml:space="preserve">Developed Germany-specific interview frameworks evaluating cultural fit for Frankfurt work environments</w:t>
      </w:r>
    </w:p>
    <w:p>
      <w:pPr>
        <w:numPr>
          <w:ilvl w:val="0"/>
          <w:numId w:val="1003"/>
        </w:numPr>
        <w:pStyle w:val="Compact"/>
      </w:pPr>
      <w:r>
        <w:rPr>
          <w:bCs/>
          <w:b/>
        </w:rPr>
        <w:t xml:space="preserve">National Talent Partnerships:</w:t>
      </w:r>
      <w:r>
        <w:t xml:space="preserve"> </w:t>
      </w:r>
      <w:r>
        <w:t xml:space="preserve">Formalized agreements with Frankfurt-based engineering schools including TU Darmstadt's Computer Science Department</w:t>
      </w:r>
    </w:p>
    <w:p>
      <w:pPr>
        <w:numPr>
          <w:ilvl w:val="0"/>
          <w:numId w:val="1003"/>
        </w:numPr>
        <w:pStyle w:val="Compact"/>
      </w:pPr>
      <w:r>
        <w:rPr>
          <w:bCs/>
          <w:b/>
        </w:rPr>
        <w:t xml:space="preserve">Premium Placement Package:</w:t>
      </w:r>
      <w:r>
        <w:t xml:space="preserve"> </w:t>
      </w:r>
      <w:r>
        <w:t xml:space="preserve">Added German language training and local mentorship for international candidates to reduce onboarding time by 40%</w:t>
      </w:r>
    </w:p>
    <w:p>
      <w:pPr>
        <w:pStyle w:val="FirstParagraph"/>
      </w:pPr>
      <w:r>
        <w:t xml:space="preserve">These measures directly contributed to our 32% increase in placement velocity for Software Engineer roles in Germany Frankfurt.</w:t>
      </w:r>
    </w:p>
    <w:bookmarkEnd w:id="27"/>
    <w:bookmarkEnd w:id="28"/>
    <w:bookmarkStart w:id="31" w:name="future-outlook-strategic-recommendations"/>
    <w:p>
      <w:pPr>
        <w:pStyle w:val="Heading2"/>
      </w:pPr>
      <w:r>
        <w:t xml:space="preserve">Future Outlook &amp; Strategic Recommendations</w:t>
      </w:r>
    </w:p>
    <w:bookmarkStart w:id="29" w:name="X9204a1f25db91a2af52383a78ac55acf57f2c26"/>
    <w:p>
      <w:pPr>
        <w:pStyle w:val="Heading3"/>
      </w:pPr>
      <w:r>
        <w:t xml:space="preserve">Growth Projections for Germany Frankfurt Market (Q4 2023 - Q1 2024)</w:t>
      </w:r>
    </w:p>
    <w:p>
      <w:pPr>
        <w:pStyle w:val="FirstParagraph"/>
      </w:pPr>
      <w:r>
        <w:t xml:space="preserve">Based on current market indicators, we forecast a continued surge in Software Engineer demand across Germany Frankfurt. Our Sales Report projects:</w:t>
      </w:r>
    </w:p>
    <w:p>
      <w:pPr>
        <w:numPr>
          <w:ilvl w:val="0"/>
          <w:numId w:val="1004"/>
        </w:numPr>
        <w:pStyle w:val="Compact"/>
      </w:pPr>
      <w:r>
        <w:t xml:space="preserve">18-22% quarterly growth in engineering role requisitions</w:t>
      </w:r>
    </w:p>
    <w:p>
      <w:pPr>
        <w:numPr>
          <w:ilvl w:val="0"/>
          <w:numId w:val="1004"/>
        </w:numPr>
        <w:pStyle w:val="Compact"/>
      </w:pPr>
      <w:r>
        <w:t xml:space="preserve">Expansion into AI/ML specialization (projected +45% demand)</w:t>
      </w:r>
    </w:p>
    <w:p>
      <w:pPr>
        <w:numPr>
          <w:ilvl w:val="0"/>
          <w:numId w:val="1004"/>
        </w:numPr>
        <w:pStyle w:val="Compact"/>
      </w:pPr>
      <w:r>
        <w:t xml:space="preserve">Rise of hybrid work models increasing remote placement requests by 30%</w:t>
      </w:r>
    </w:p>
    <w:bookmarkEnd w:id="29"/>
    <w:bookmarkStart w:id="30" w:name="recommended-action-plan"/>
    <w:p>
      <w:pPr>
        <w:pStyle w:val="Heading3"/>
      </w:pPr>
      <w:r>
        <w:t xml:space="preserve">Recommended Action Plan</w:t>
      </w:r>
    </w:p>
    <w:p>
      <w:pPr>
        <w:pStyle w:val="FirstParagraph"/>
      </w:pPr>
      <w:r>
        <w:t xml:space="preserve">To capitalize on this momentum, we propose the following strategic initiatives for our Germany Frankfurt operations:</w:t>
      </w:r>
    </w:p>
    <w:p>
      <w:pPr>
        <w:numPr>
          <w:ilvl w:val="0"/>
          <w:numId w:val="1005"/>
        </w:numPr>
        <w:pStyle w:val="Compact"/>
      </w:pPr>
      <w:r>
        <w:rPr>
          <w:bCs/>
          <w:b/>
        </w:rPr>
        <w:t xml:space="preserve">Establish Frankfurt Tech Hub:</w:t>
      </w:r>
      <w:r>
        <w:t xml:space="preserve"> </w:t>
      </w:r>
      <w:r>
        <w:t xml:space="preserve">Open dedicated recruitment office in the city center by Q1 2024 to deepen local market presence</w:t>
      </w:r>
    </w:p>
    <w:p>
      <w:pPr>
        <w:numPr>
          <w:ilvl w:val="0"/>
          <w:numId w:val="1005"/>
        </w:numPr>
        <w:pStyle w:val="Compact"/>
      </w:pPr>
      <w:r>
        <w:rPr>
          <w:bCs/>
          <w:b/>
        </w:rPr>
        <w:t xml:space="preserve">Create German Compliance Certification:</w:t>
      </w:r>
      <w:r>
        <w:t xml:space="preserve"> </w:t>
      </w:r>
      <w:r>
        <w:t xml:space="preserve">Develop internal training for recruiters on German financial regulations affecting software engineering roles</w:t>
      </w:r>
    </w:p>
    <w:p>
      <w:pPr>
        <w:numPr>
          <w:ilvl w:val="0"/>
          <w:numId w:val="1005"/>
        </w:numPr>
        <w:pStyle w:val="Compact"/>
      </w:pPr>
      <w:r>
        <w:rPr>
          <w:bCs/>
          <w:b/>
        </w:rPr>
        <w:t xml:space="preserve">Leverage Frankfurt Tech Events:</w:t>
      </w:r>
      <w:r>
        <w:t xml:space="preserve"> </w:t>
      </w:r>
      <w:r>
        <w:t xml:space="preserve">Secure sponsorship at major conferences like Web Summit Frankfurt and Fintech Week Germany to showcase our Software Engineer recruitment capabilities</w:t>
      </w:r>
    </w:p>
    <w:p>
      <w:pPr>
        <w:pStyle w:val="FirstParagraph"/>
      </w:pPr>
      <w:r>
        <w:rPr>
          <w:bCs/>
          <w:b/>
        </w:rPr>
        <w:t xml:space="preserve">Strategic Imperative:</w:t>
      </w:r>
      <w:r>
        <w:t xml:space="preserve"> </w:t>
      </w:r>
      <w:r>
        <w:t xml:space="preserve">Maintaining leadership in the Germany Frankfurt market requires continuous adaptation to local regulatory frameworks and cultural nuances. Our Sales Report confirms that clients consistently prioritize partners with deep regional expertise when hiring Software Engineers.</w:t>
      </w:r>
    </w:p>
    <w:bookmarkEnd w:id="30"/>
    <w:bookmarkEnd w:id="31"/>
    <w:bookmarkStart w:id="32" w:name="Xea4365eb8090cb7cf4453a08c00245cd53f0996"/>
    <w:p>
      <w:pPr>
        <w:pStyle w:val="Heading2"/>
      </w:pPr>
      <w:r>
        <w:t xml:space="preserve">Conclusion: Why Germany Frankfurt Remains Our Flagship Market</w:t>
      </w:r>
    </w:p>
    <w:p>
      <w:pPr>
        <w:pStyle w:val="FirstParagraph"/>
      </w:pPr>
      <w:r>
        <w:t xml:space="preserve">The Q3 2023 Sales Report unequivocally demonstrates that Germany Frankfurt is not merely another market, but the cornerstone of our European engineering recruitment strategy. The region's unique convergence of financial sector dominance, technological innovation, and regulatory complexity creates an unparalleled demand environment for specialized Software Engineers. By embedding local expertise into every aspect of our recruitment process—from candidate assessment to client engagement—we've achieved record results that directly benefit our overall sales performance.</w:t>
      </w:r>
    </w:p>
    <w:p>
      <w:pPr>
        <w:pStyle w:val="BodyText"/>
      </w:pPr>
      <w:r>
        <w:t xml:space="preserve">As we look ahead to Q4 2023 and beyond, the Germany Frankfurt market will remain our strategic priority. The insights from this Sales Report confirm that success in this dynamic environment requires more than standard recruitment techniques—it demands a deep understanding of local business culture, regulatory requirements, and technological trends. Our team's ability to deliver exceptional results for Software Engineer placements in Germany Frankfurt has positioned us for sustained growth as the financial and technology sectors continue their digital transformation journey.</w:t>
      </w:r>
    </w:p>
    <w:p>
      <w:pPr>
        <w:pStyle w:val="BodyText"/>
      </w:pPr>
      <w:r>
        <w:t xml:space="preserve">For clients seeking engineering talent in one of Europe's most strategically important markets, our partnership delivers measurable outcomes through data-driven recruitment that understands the unique demands of Germany Frankfurt.</w:t>
      </w:r>
    </w:p>
    <w:bookmarkEnd w:id="32"/>
    <w:p>
      <w:pPr>
        <w:pStyle w:val="BodyText"/>
      </w:pPr>
      <w:r>
        <w:t xml:space="preserve">This Sales Report is confidential and intended solely for internal executive use. © 2023 Global Talent Solutions. All rights reserved.</w:t>
      </w:r>
    </w:p>
    <w:p>
      <w:pPr>
        <w:pStyle w:val="BodyText"/>
      </w:pPr>
      <w:r>
        <w:t xml:space="preserve">Word Count: 987</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Germany Frankfurt Market</dc:title>
  <dc:creator/>
  <dc:language>en</dc:language>
  <cp:keywords/>
  <dcterms:created xsi:type="dcterms:W3CDTF">2026-04-30T02:20:08Z</dcterms:created>
  <dcterms:modified xsi:type="dcterms:W3CDTF">2026-04-30T02:20:08Z</dcterms:modified>
</cp:coreProperties>
</file>

<file path=docProps/custom.xml><?xml version="1.0" encoding="utf-8"?>
<Properties xmlns="http://schemas.openxmlformats.org/officeDocument/2006/custom-properties" xmlns:vt="http://schemas.openxmlformats.org/officeDocument/2006/docPropsVTypes"/>
</file>