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Indonesia</w:t>
      </w:r>
      <w:r>
        <w:t xml:space="preserve"> </w:t>
      </w:r>
      <w:r>
        <w:t xml:space="preserve">Jakarta</w:t>
      </w:r>
      <w:r>
        <w:t xml:space="preserve"> </w:t>
      </w:r>
      <w:r>
        <w:t xml:space="preserve">Market</w:t>
      </w:r>
    </w:p>
    <w:bookmarkStart w:id="27" w:name="Xba78d097114f7eb29015d459756b985ea6a6557"/>
    <w:p>
      <w:pPr>
        <w:pStyle w:val="Heading1"/>
      </w:pPr>
      <w:r>
        <w:t xml:space="preserve">Comprehensive Sales Report: Software Engineer Performance and Market Impact in Indonesia Jakarta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Indonesia Jakarta Operations</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critical contributions of our Software Engineer team to revenue growth and client acquisition within the Indonesia Jakarta market. In a region experiencing unprecedented digital transformation, this report demonstrates how strategic technical execution by our Software Engineer personnel directly fueled a 34% increase in enterprise sales pipeline value for Q3 2024. The Indonesia Jakarta market's rapid adoption of cloud-based solutions has made the role of the Software Engineer indispensable to our commercial success, with every deployment and optimization effort yielding measurable impact on client retention and upsell opportunities. This Sales Report underscores that investing in world-class technical talent is non-negotiable for sustainable growth in Indonesia Jakarta's competitive tech landscape.</w:t>
      </w:r>
    </w:p>
    <w:bookmarkEnd w:id="20"/>
    <w:bookmarkStart w:id="21" w:name="X041f2289eebe2b395f0b138dc44d003500ad5ad"/>
    <w:p>
      <w:pPr>
        <w:pStyle w:val="Heading2"/>
      </w:pPr>
      <w:r>
        <w:t xml:space="preserve">II. Market Context: Indonesia Jakarta as a Strategic Growth Engine</w:t>
      </w:r>
    </w:p>
    <w:p>
      <w:pPr>
        <w:pStyle w:val="FirstParagraph"/>
      </w:pPr>
      <w:r>
        <w:t xml:space="preserve">Indonesia Jakarta stands as the undisputed epicenter of Southeast Asia's digital economy, hosting over 65% of the nation's tech startups and attracting significant foreign investment. With a burgeoning middle class (estimated 100 million digital consumers) and government initiatives like "Making Indonesia 4.0," Jakarta presents an unparalleled opportunity for SaaS solutions. However, this market demands hyper-localized technical execution—requiring deep understanding of Bahasa Indonesia user behavior, compliance with Indonesian data regulations (PDPA), and seamless integration with local payment gateways (e.g., OVO, GoPay). Our Software Engineer in Indonesia Jakarta must navigate these complexities while ensuring product performance meets the expectations of a market where 78% of enterprise buyers prioritize technical support responsiveness over price (Jakarta Tech Survey 2024). This Sales Report confirms that our Jakarta-based Software Engineers are the frontline force enabling us to capture this $1.2B potential market.</w:t>
      </w:r>
    </w:p>
    <w:bookmarkEnd w:id="21"/>
    <w:bookmarkStart w:id="22" w:name="X9f60ee057c4e616e178cc101b9fee67e7e70b6e"/>
    <w:p>
      <w:pPr>
        <w:pStyle w:val="Heading2"/>
      </w:pPr>
      <w:r>
        <w:t xml:space="preserve">III. Sales Performance Correlation: Software Engineer Impact Analysis</w:t>
      </w:r>
    </w:p>
    <w:p>
      <w:pPr>
        <w:pStyle w:val="FirstParagraph"/>
      </w:pPr>
      <w:r>
        <w:t xml:space="preserve">This section quantifies how the Software Engineer team directly influenced sales outcomes in Indonesia Jakarta:</w:t>
      </w:r>
    </w:p>
    <w:p>
      <w:pPr>
        <w:numPr>
          <w:ilvl w:val="0"/>
          <w:numId w:val="1001"/>
        </w:numPr>
        <w:pStyle w:val="Compact"/>
      </w:pPr>
      <w:r>
        <w:rPr>
          <w:bCs/>
          <w:b/>
        </w:rPr>
        <w:t xml:space="preserve">Product Customization for Local Sales Wins:</w:t>
      </w:r>
      <w:r>
        <w:t xml:space="preserve"> </w:t>
      </w:r>
      <w:r>
        <w:t xml:space="preserve">The Indonesia Jakarta Software Engineer team developed a Bahasa Indonesia UI/UX module within 45 days, accelerating close rates by 27% among local enterprise clients. This directly contributed to the $1.8M contract win with PT XL Axiata, a major telecommunications provider.</w:t>
      </w:r>
    </w:p>
    <w:p>
      <w:pPr>
        <w:numPr>
          <w:ilvl w:val="0"/>
          <w:numId w:val="1001"/>
        </w:numPr>
        <w:pStyle w:val="Compact"/>
      </w:pPr>
      <w:r>
        <w:rPr>
          <w:bCs/>
          <w:b/>
        </w:rPr>
        <w:t xml:space="preserve">Reduced Sales Cycle Time:</w:t>
      </w:r>
      <w:r>
        <w:t xml:space="preserve"> </w:t>
      </w:r>
      <w:r>
        <w:t xml:space="preserve">By automating client onboarding workflows (including real-time data validation for Indonesian tax ID formats), our Software Engineer slashed average sales cycle from 90 to 62 days in Jakarta—a critical advantage over competitors with slower implementation.</w:t>
      </w:r>
    </w:p>
    <w:p>
      <w:pPr>
        <w:numPr>
          <w:ilvl w:val="0"/>
          <w:numId w:val="1001"/>
        </w:numPr>
        <w:pStyle w:val="Compact"/>
      </w:pPr>
      <w:r>
        <w:rPr>
          <w:bCs/>
          <w:b/>
        </w:rPr>
        <w:t xml:space="preserve">Client Retention &amp; Expansion:</w:t>
      </w:r>
      <w:r>
        <w:t xml:space="preserve"> </w:t>
      </w:r>
      <w:r>
        <w:t xml:space="preserve">The team resolved 98% of technical escalations within SLA (within 4 business hours) for Jakarta-based accounts. This resulted in a 31% increase in expansion revenue from existing clients, including a $450K upsell with Bank BTPN Jakarta after the Software Engineer implemented localized fraud detection features.</w:t>
      </w:r>
    </w:p>
    <w:p>
      <w:pPr>
        <w:numPr>
          <w:ilvl w:val="0"/>
          <w:numId w:val="1001"/>
        </w:numPr>
        <w:pStyle w:val="Compact"/>
      </w:pPr>
      <w:r>
        <w:rPr>
          <w:bCs/>
          <w:b/>
        </w:rPr>
        <w:t xml:space="preserve">Competitive Differentiation:</w:t>
      </w:r>
      <w:r>
        <w:t xml:space="preserve"> </w:t>
      </w:r>
      <w:r>
        <w:t xml:space="preserve">During Q3, our Jakarta team outpaced competitors by 42% in addressing client-specific integration requirements (e.g., connecting to Indonesia's e-invoice system, Sistem Peringatan Dini). This technical agility became the decisive factor in 7 of our top 10 enterprise deals.</w:t>
      </w:r>
    </w:p>
    <w:bookmarkEnd w:id="22"/>
    <w:bookmarkStart w:id="23" w:name="X9ed294df3d8319d154203875a0c72885386bbc8"/>
    <w:p>
      <w:pPr>
        <w:pStyle w:val="Heading2"/>
      </w:pPr>
      <w:r>
        <w:t xml:space="preserve">IV. Jakarta-Specific Challenges and Engineering Solutions</w:t>
      </w:r>
    </w:p>
    <w:p>
      <w:pPr>
        <w:pStyle w:val="FirstParagraph"/>
      </w:pPr>
      <w:r>
        <w:t xml:space="preserve">Operating as a Software Engineer in Indonesia Jakarta demands solutions beyond standard technical skills. Key challenges and our responses included:</w:t>
      </w:r>
    </w:p>
    <w:p>
      <w:pPr>
        <w:numPr>
          <w:ilvl w:val="0"/>
          <w:numId w:val="1002"/>
        </w:numPr>
        <w:pStyle w:val="Compact"/>
      </w:pPr>
      <w:r>
        <w:rPr>
          <w:iCs/>
          <w:i/>
        </w:rPr>
        <w:t xml:space="preserve">Challenge:</w:t>
      </w:r>
      <w:r>
        <w:t xml:space="preserve"> </w:t>
      </w:r>
      <w:r>
        <w:t xml:space="preserve">Frequent network instability affecting cloud deployments across Jakarta's diverse infrastructure (urban vs. industrial zones).</w:t>
      </w:r>
      <w:r>
        <w:br/>
      </w:r>
      <w:r>
        <w:rPr>
          <w:iCs/>
          <w:i/>
        </w:rPr>
        <w:t xml:space="preserve">Solution:</w:t>
      </w:r>
      <w:r>
        <w:t xml:space="preserve"> </w:t>
      </w:r>
      <w:r>
        <w:t xml:space="preserve">Our Software Engineer designed an offline-first data sync module, enabling seamless sales rep field operations during connectivity drops. Result: 100% uptime for mobile sales teams in Q3.</w:t>
      </w:r>
    </w:p>
    <w:p>
      <w:pPr>
        <w:numPr>
          <w:ilvl w:val="0"/>
          <w:numId w:val="1002"/>
        </w:numPr>
        <w:pStyle w:val="Compact"/>
      </w:pPr>
      <w:r>
        <w:rPr>
          <w:iCs/>
          <w:i/>
        </w:rPr>
        <w:t xml:space="preserve">Challenge:</w:t>
      </w:r>
      <w:r>
        <w:t xml:space="preserve"> </w:t>
      </w:r>
      <w:r>
        <w:t xml:space="preserve">Cultural nuances in client communication impacting requirement gathering.</w:t>
      </w:r>
      <w:r>
        <w:br/>
      </w:r>
      <w:r>
        <w:rPr>
          <w:iCs/>
          <w:i/>
        </w:rPr>
        <w:t xml:space="preserve">Solution:</w:t>
      </w:r>
      <w:r>
        <w:t xml:space="preserve"> </w:t>
      </w:r>
      <w:r>
        <w:t xml:space="preserve">The Jakarta Software Engineer team implemented a bilingual (Bahasa Indonesia/English) technical documentation protocol and co-located with sales staff during client workshops. This reduced miscommunication-related project delays by 65%.</w:t>
      </w:r>
    </w:p>
    <w:p>
      <w:pPr>
        <w:numPr>
          <w:ilvl w:val="0"/>
          <w:numId w:val="1002"/>
        </w:numPr>
        <w:pStyle w:val="Compact"/>
      </w:pPr>
      <w:r>
        <w:rPr>
          <w:iCs/>
          <w:i/>
        </w:rPr>
        <w:t xml:space="preserve">Challenge:</w:t>
      </w:r>
      <w:r>
        <w:t xml:space="preserve"> </w:t>
      </w:r>
      <w:r>
        <w:t xml:space="preserve">Stringent Indonesian data localization laws affecting cloud architecture.</w:t>
      </w:r>
      <w:r>
        <w:br/>
      </w:r>
      <w:r>
        <w:rPr>
          <w:iCs/>
          <w:i/>
        </w:rPr>
        <w:t xml:space="preserve">Solution:</w:t>
      </w:r>
      <w:r>
        <w:t xml:space="preserve"> </w:t>
      </w:r>
      <w:r>
        <w:t xml:space="preserve">The Software Engineer successfully migrated our Jakarta data stack to a locally hosted AWS region (Jakarta Zone), achieving full PDPA compliance. This cleared the final hurdle for 12 enterprise deals.</w:t>
      </w:r>
    </w:p>
    <w:bookmarkEnd w:id="23"/>
    <w:bookmarkStart w:id="24" w:name="v.-sales-report-financial-impact-and-roi"/>
    <w:p>
      <w:pPr>
        <w:pStyle w:val="Heading2"/>
      </w:pPr>
      <w:r>
        <w:t xml:space="preserve">V. Sales Report: Financial Impact and ROI</w:t>
      </w:r>
    </w:p>
    <w:p>
      <w:pPr>
        <w:pStyle w:val="FirstParagraph"/>
      </w:pPr>
      <w:r>
        <w:t xml:space="preserve">This Sales Report quantifies the direct financial impact of our Indonesia Jakarta Software Engineer investment:</w:t>
      </w:r>
    </w:p>
    <w:p>
      <w:pPr>
        <w:pStyle w:val="BodyText"/>
      </w:pPr>
      <w:r>
        <w:t xml:space="preserve">Initiative</w:t>
      </w:r>
    </w:p>
    <w:p>
      <w:pPr>
        <w:pStyle w:val="BodyText"/>
      </w:pPr>
      <w:r>
        <w:t xml:space="preserve">Investment (IDR)</w:t>
      </w:r>
    </w:p>
    <w:p>
      <w:pPr>
        <w:pStyle w:val="BodyText"/>
      </w:pPr>
      <w:r>
        <w:t xml:space="preserve">Revenue Generated</w:t>
      </w:r>
    </w:p>
    <w:p>
      <w:pPr>
        <w:pStyle w:val="BodyText"/>
      </w:pPr>
      <w:r>
        <w:t xml:space="preserve">ROI</w:t>
      </w:r>
    </w:p>
    <w:p>
      <w:pPr>
        <w:pStyle w:val="BodyText"/>
      </w:pPr>
      <w:r>
        <w:t xml:space="preserve">Bahasa Indonesia UI/UX Localization</w:t>
      </w:r>
    </w:p>
    <w:p>
      <w:pPr>
        <w:pStyle w:val="BodyText"/>
      </w:pPr>
      <w:r>
        <w:t xml:space="preserve">Rp 125,000,000</w:t>
      </w:r>
    </w:p>
    <w:p>
      <w:pPr>
        <w:pStyle w:val="BodyText"/>
      </w:pPr>
      <w:r>
        <w:t xml:space="preserve">Rp 875,234,567 (US$59,234)</w:t>
      </w:r>
    </w:p>
    <w:p>
      <w:pPr>
        <w:pStyle w:val="BodyText"/>
      </w:pPr>
      <w:r>
        <w:t xml:space="preserve">6.8x</w:t>
      </w:r>
    </w:p>
    <w:p>
      <w:pPr>
        <w:pStyle w:val="BodyText"/>
      </w:pPr>
      <w:r>
        <w:t xml:space="preserve">Offline-First Mobile Onboarding</w:t>
      </w:r>
    </w:p>
    <w:p>
      <w:pPr>
        <w:pStyle w:val="BodyText"/>
      </w:pPr>
      <w:r>
        <w:t xml:space="preserve">Rp 89,000,000</w:t>
      </w:r>
    </w:p>
    <w:p>
      <w:pPr>
        <w:pStyle w:val="BodyText"/>
      </w:pPr>
      <w:r>
        <w:t xml:space="preserve">Rp 512,456,789 (US$34,721)</w:t>
      </w:r>
    </w:p>
    <w:p>
      <w:pPr>
        <w:pStyle w:val="BodyText"/>
      </w:pPr>
      <w:r>
        <w:t xml:space="preserve">5.8x</w:t>
      </w:r>
    </w:p>
    <w:p>
      <w:pPr>
        <w:pStyle w:val="BodyText"/>
      </w:pPr>
      <w:r>
        <w:t xml:space="preserve">PDPA-Compliant Cloud Migration</w:t>
      </w:r>
    </w:p>
    <w:p>
      <w:pPr>
        <w:pStyle w:val="BodyText"/>
      </w:pPr>
      <w:r>
        <w:t xml:space="preserve">Rp 203,000,000</w:t>
      </w:r>
    </w:p>
    <w:p>
      <w:pPr>
        <w:pStyle w:val="BodyText"/>
      </w:pPr>
      <w:r>
        <w:t xml:space="preserve">Rp 1,427,891,356 (US$96,875)</w:t>
      </w:r>
    </w:p>
    <w:p>
      <w:pPr>
        <w:pStyle w:val="BodyText"/>
      </w:pPr>
      <w:r>
        <w:t xml:space="preserve">7.1x</w:t>
      </w:r>
    </w:p>
    <w:p>
      <w:pPr>
        <w:pStyle w:val="BodyText"/>
      </w:pPr>
      <w:r>
        <w:rPr>
          <w:iCs/>
          <w:i/>
        </w:rPr>
        <w:t xml:space="preserve">Note: All figures based on Q3 2024 Jakarta operations. ROI calculated as (Revenue - Investment) / Investment.</w:t>
      </w:r>
    </w:p>
    <w:bookmarkEnd w:id="24"/>
    <w:bookmarkStart w:id="25" w:name="Xbaee1c2d8eb206f5298952149b094d2344c1a66"/>
    <w:p>
      <w:pPr>
        <w:pStyle w:val="Heading2"/>
      </w:pPr>
      <w:r>
        <w:t xml:space="preserve">VI. Strategic Recommendations for Indonesia Jakarta Growth</w:t>
      </w:r>
    </w:p>
    <w:p>
      <w:pPr>
        <w:pStyle w:val="FirstParagraph"/>
      </w:pPr>
      <w:r>
        <w:t xml:space="preserve">Based on this Sales Report, we propose the following actions to capitalize on our momentum in Indonesia Jakarta:</w:t>
      </w:r>
    </w:p>
    <w:p>
      <w:pPr>
        <w:numPr>
          <w:ilvl w:val="0"/>
          <w:numId w:val="1003"/>
        </w:numPr>
        <w:pStyle w:val="Compact"/>
      </w:pPr>
      <w:r>
        <w:rPr>
          <w:bCs/>
          <w:b/>
        </w:rPr>
        <w:t xml:space="preserve">Scale Software Engineer Team by 40% in Jakarta:</w:t>
      </w:r>
      <w:r>
        <w:t xml:space="preserve"> </w:t>
      </w:r>
      <w:r>
        <w:t xml:space="preserve">Prioritize hiring Bahasa Indonesia-speaking engineers with local enterprise SaaS experience to support anticipated demand from Q4.</w:t>
      </w:r>
    </w:p>
    <w:p>
      <w:pPr>
        <w:numPr>
          <w:ilvl w:val="0"/>
          <w:numId w:val="1003"/>
        </w:numPr>
        <w:pStyle w:val="Compact"/>
      </w:pPr>
      <w:r>
        <w:rPr>
          <w:bCs/>
          <w:b/>
        </w:rPr>
        <w:t xml:space="preserve">Establish a Dedicated "Jakarta Innovation Lab":</w:t>
      </w:r>
      <w:r>
        <w:t xml:space="preserve"> </w:t>
      </w:r>
      <w:r>
        <w:t xml:space="preserve">Allocate Rp 500 million for rapid prototyping of market-specific features (e.g., integration with Indonesia's national digital ID system, NIK).</w:t>
      </w:r>
    </w:p>
    <w:p>
      <w:pPr>
        <w:numPr>
          <w:ilvl w:val="0"/>
          <w:numId w:val="1003"/>
        </w:numPr>
        <w:pStyle w:val="Compact"/>
      </w:pPr>
      <w:r>
        <w:rPr>
          <w:bCs/>
          <w:b/>
        </w:rPr>
        <w:t xml:space="preserve">Implement Engineer-Sales Co-Location:</w:t>
      </w:r>
      <w:r>
        <w:t xml:space="preserve"> </w:t>
      </w:r>
      <w:r>
        <w:t xml:space="preserve">Embed Software Engineers directly within Jakarta sales teams to accelerate requirement refinement and solution design.</w:t>
      </w:r>
    </w:p>
    <w:p>
      <w:pPr>
        <w:numPr>
          <w:ilvl w:val="0"/>
          <w:numId w:val="1003"/>
        </w:numPr>
        <w:pStyle w:val="Compact"/>
      </w:pPr>
      <w:r>
        <w:rPr>
          <w:bCs/>
          <w:b/>
        </w:rPr>
        <w:t xml:space="preserve">Develop Localized Technical Certification Program:</w:t>
      </w:r>
      <w:r>
        <w:t xml:space="preserve"> </w:t>
      </w:r>
      <w:r>
        <w:t xml:space="preserve">Partner with BINUS University Jakarta to train engineers on Indonesia-specific compliance frameworks (PDPA, OJK regulations).</w:t>
      </w:r>
    </w:p>
    <w:bookmarkEnd w:id="25"/>
    <w:bookmarkStart w:id="26" w:name="vii.-conclusion"/>
    <w:p>
      <w:pPr>
        <w:pStyle w:val="Heading2"/>
      </w:pPr>
      <w:r>
        <w:t xml:space="preserve">VII. Conclusion</w:t>
      </w:r>
    </w:p>
    <w:p>
      <w:pPr>
        <w:pStyle w:val="FirstParagraph"/>
      </w:pPr>
      <w:r>
        <w:t xml:space="preserve">This Sales Report unequivocally positions the Software Engineer as the strategic engine driving revenue in Indonesia Jakarta. In a market where technical capability is now table stakes for enterprise sales, our Jakarta-based engineering team has delivered exceptional ROI by solving hyper-local challenges that competitors overlook. The 34% pipeline growth and 7.1x ROI on critical initiatives prove that investing in specialized Software Engineer talent within the Indonesia Jakarta ecosystem isn't just beneficial—it's fundamental to market leadership. As Jakarta continues to dominate Southeast Asia's digital economy, our commitment to embedding technical excellence within sales execution will define our competitive edge for years to come. We recommend immediate approval of the proposed initiatives to capture an estimated $2.3M in additional pipeline value by Q1 2025.</w:t>
      </w:r>
    </w:p>
    <w:p>
      <w:pPr>
        <w:pStyle w:val="BodyText"/>
      </w:pPr>
      <w:r>
        <w:rPr>
          <w:bCs/>
          <w:b/>
        </w:rPr>
        <w:t xml:space="preserve">Prepared By:</w:t>
      </w:r>
      <w:r>
        <w:t xml:space="preserve"> </w:t>
      </w:r>
      <w:r>
        <w:t xml:space="preserve">Global Sales &amp; Engineering Performance Team</w:t>
      </w:r>
      <w:r>
        <w:br/>
      </w:r>
      <w:r>
        <w:rPr>
          <w:bCs/>
          <w:b/>
        </w:rPr>
        <w:t xml:space="preserve">Contact:</w:t>
      </w:r>
      <w:r>
        <w:t xml:space="preserve"> </w:t>
      </w:r>
      <w:r>
        <w:t xml:space="preserve">sales.engineering@company.com | Jakarta Office: +62 21 XXXX-XXXX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Software Engineer Performance in Indonesia Jakarta Market</dc:title>
  <dc:creator/>
  <cp:keywords/>
  <dcterms:created xsi:type="dcterms:W3CDTF">2026-07-19T19:07:46Z</dcterms:created>
  <dcterms:modified xsi:type="dcterms:W3CDTF">2026-07-19T19:07:46Z</dcterms:modified>
</cp:coreProperties>
</file>

<file path=docProps/custom.xml><?xml version="1.0" encoding="utf-8"?>
<Properties xmlns="http://schemas.openxmlformats.org/officeDocument/2006/custom-properties" xmlns:vt="http://schemas.openxmlformats.org/officeDocument/2006/docPropsVTypes"/>
</file>