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fa5de2daabac99656784cb523c8a3e94cb732e4"/>
    <w:p>
      <w:pPr>
        <w:pStyle w:val="Heading1"/>
      </w:pPr>
      <w:r>
        <w:t xml:space="preserve">Q1 2024 Sales Report: Strategic Performance of Software Engineering Services in Iran Tehran</w:t>
      </w:r>
    </w:p>
    <w:p>
      <w:pPr>
        <w:pStyle w:val="FirstParagraph"/>
      </w:pPr>
      <w:r>
        <w:rPr>
          <w:bCs/>
          <w:b/>
        </w:rPr>
        <w:t xml:space="preserve">Prepared for Executive Leadership &amp; Stakeholders | Date: April 15, 2024 | Prepared by: TechSolutions Consulting Group</w:t>
      </w:r>
    </w:p>
    <w:bookmarkStart w:id="20" w:name="executive-summary"/>
    <w:p>
      <w:pPr>
        <w:pStyle w:val="Heading2"/>
      </w:pPr>
      <w:r>
        <w:t xml:space="preserve">Executive Summary</w:t>
      </w:r>
    </w:p>
    <w:p>
      <w:pPr>
        <w:pStyle w:val="FirstParagraph"/>
      </w:pPr>
      <w:r>
        <w:t xml:space="preserve">This comprehensive Sales Report details the performance of software engineering services within Tehran, Iran's premier technology hub. Despite challenging economic conditions and international sanctions, the demand for specialized Software Engineer expertise has surged by 18% year-over-year (YoY) in the first quarter of 2024. The report analyzes market dynamics, client acquisition trends, revenue streams, and strategic opportunities specific to the Iran Tehran ecosystem. Our findings confirm that high-caliber software engineering talent remains the cornerstone of sustainable growth for technology-driven businesses operating within Iran's evolving digital landscape.</w:t>
      </w:r>
    </w:p>
    <w:bookmarkEnd w:id="20"/>
    <w:bookmarkStart w:id="21" w:name="X1a002b0e778e1423e2dbbcbd723b90155216bae"/>
    <w:p>
      <w:pPr>
        <w:pStyle w:val="Heading2"/>
      </w:pPr>
      <w:r>
        <w:t xml:space="preserve">Market Context: Software Engineering Demand in Iran Tehran</w:t>
      </w:r>
    </w:p>
    <w:p>
      <w:pPr>
        <w:pStyle w:val="FirstParagraph"/>
      </w:pPr>
      <w:r>
        <w:t xml:space="preserve">Tehran, home to over 60% of Iran's IT sector workforce and 75% of the nation's tech startups, has become the undisputed epicenter for software engineering innovation. The local market exhibits a unique convergence of rapid digital transformation across key industries—fintech (with platforms like ZarinPal), e-commerce (Digikala, Snapp), and government digital initiatives—and intense competition for skilled Software Engineer professionals. According to Iran's Ministry of Communications &amp; Information Technology, the Tehran software development sector grew by 22% in 2023 alone, driven by both domestic startups and established enterprises seeking local expertise.</w:t>
      </w:r>
    </w:p>
    <w:p>
      <w:pPr>
        <w:pStyle w:val="BodyText"/>
      </w:pPr>
      <w:r>
        <w:t xml:space="preserve">Notably, our Sales Report identifies a critical market gap: while demand for Software Engineer services has skyrocketed (particularly in AI/ML integration, cloud migration, and secure fintech solutions), supply remains constrained. Tehran's top universities produce approximately 25,000 computer science graduates annually; however, only ~35% possess the specialized skills demanded by enterprise clients. This scarcity directly fuels premium service pricing and extended project timelines for vendors with proven expertise.</w:t>
      </w:r>
    </w:p>
    <w:bookmarkEnd w:id="21"/>
    <w:bookmarkStart w:id="22" w:name="q1-2024-sales-performance-highlights"/>
    <w:p>
      <w:pPr>
        <w:pStyle w:val="Heading2"/>
      </w:pPr>
      <w:r>
        <w:t xml:space="preserve">Q1 2024 Sales Performance Highlights</w:t>
      </w:r>
    </w:p>
    <w:p>
      <w:pPr>
        <w:numPr>
          <w:ilvl w:val="0"/>
          <w:numId w:val="1001"/>
        </w:numPr>
        <w:pStyle w:val="Compact"/>
      </w:pPr>
      <w:r>
        <w:rPr>
          <w:bCs/>
          <w:b/>
        </w:rPr>
        <w:t xml:space="preserve">Revenue Growth:</w:t>
      </w:r>
      <w:r>
        <w:t xml:space="preserve"> </w:t>
      </w:r>
      <w:r>
        <w:t xml:space="preserve">15% YoY increase to $8.7 million, exceeding projections by 7%. All growth stemmed from new client acquisition in Tehran's corporate and government sectors.</w:t>
      </w:r>
    </w:p>
    <w:p>
      <w:pPr>
        <w:numPr>
          <w:ilvl w:val="0"/>
          <w:numId w:val="1001"/>
        </w:numPr>
        <w:pStyle w:val="Compact"/>
      </w:pPr>
      <w:r>
        <w:rPr>
          <w:bCs/>
          <w:b/>
        </w:rPr>
        <w:t xml:space="preserve">Key Client Segments:</w:t>
      </w:r>
      <w:r>
        <w:t xml:space="preserve"> </w:t>
      </w:r>
      <w:r>
        <w:t xml:space="preserve">Fintech firms (42% of revenue), e-commerce platforms (31%), and public-sector digital transformation projects (27%).</w:t>
      </w:r>
    </w:p>
    <w:p>
      <w:pPr>
        <w:numPr>
          <w:ilvl w:val="0"/>
          <w:numId w:val="1001"/>
        </w:numPr>
        <w:pStyle w:val="Compact"/>
      </w:pPr>
      <w:r>
        <w:rPr>
          <w:bCs/>
          <w:b/>
        </w:rPr>
        <w:t xml:space="preserve">Software Engineer Utilization Rate:</w:t>
      </w:r>
      <w:r>
        <w:t xml:space="preserve"> </w:t>
      </w:r>
      <w:r>
        <w:t xml:space="preserve">92% capacity utilization across our Tehran-based engineering teams—up from 85% in Q4 2023. This reflects our ability to rapidly deploy specialized talent.</w:t>
      </w:r>
    </w:p>
    <w:p>
      <w:pPr>
        <w:numPr>
          <w:ilvl w:val="0"/>
          <w:numId w:val="1001"/>
        </w:numPr>
        <w:pStyle w:val="Compact"/>
      </w:pPr>
      <w:r>
        <w:rPr>
          <w:bCs/>
          <w:b/>
        </w:rPr>
        <w:t xml:space="preserve">Sales Cycle Efficiency:</w:t>
      </w:r>
      <w:r>
        <w:t xml:space="preserve"> </w:t>
      </w:r>
      <w:r>
        <w:t xml:space="preserve">Average client onboarding time reduced to 17 days (from 28 days), driven by streamlined engagement models tailored for Tehran's business culture and regulatory environment.</w:t>
      </w:r>
    </w:p>
    <w:bookmarkEnd w:id="22"/>
    <w:bookmarkStart w:id="23" w:name="Xc8962673233dc9aa2c5347cae3fb4278713df9a"/>
    <w:p>
      <w:pPr>
        <w:pStyle w:val="Heading2"/>
      </w:pPr>
      <w:r>
        <w:t xml:space="preserve">Geographic Focus: Tehran as the Engine of Growth</w:t>
      </w:r>
    </w:p>
    <w:p>
      <w:pPr>
        <w:pStyle w:val="FirstParagraph"/>
      </w:pPr>
      <w:r>
        <w:t xml:space="preserve">The Sales Report underscores that Iran Tehran is not merely a market—it’s the operational nerve center. 89% of all new client contracts in Q1 were signed with companies headquartered or operating primarily within Tehran's metropolitan area. This concentration is driven by:</w:t>
      </w:r>
    </w:p>
    <w:p>
      <w:pPr>
        <w:numPr>
          <w:ilvl w:val="0"/>
          <w:numId w:val="1002"/>
        </w:numPr>
        <w:pStyle w:val="Compact"/>
      </w:pPr>
      <w:r>
        <w:t xml:space="preserve">Proximity to key decision-makers and innovation clusters (e.g., Tehran University Technology Park, Kish Island tech zones)</w:t>
      </w:r>
    </w:p>
    <w:p>
      <w:pPr>
        <w:numPr>
          <w:ilvl w:val="0"/>
          <w:numId w:val="1002"/>
        </w:numPr>
        <w:pStyle w:val="Compact"/>
      </w:pPr>
      <w:r>
        <w:t xml:space="preserve">Established supply chains for development tools and infrastructure, despite sanctions</w:t>
      </w:r>
    </w:p>
    <w:p>
      <w:pPr>
        <w:numPr>
          <w:ilvl w:val="0"/>
          <w:numId w:val="1002"/>
        </w:numPr>
        <w:pStyle w:val="Compact"/>
      </w:pPr>
      <w:r>
        <w:t xml:space="preserve">Cultural alignment in client-consultant communication patterns</w:t>
      </w:r>
    </w:p>
    <w:p>
      <w:pPr>
        <w:pStyle w:val="FirstParagraph"/>
      </w:pPr>
      <w:r>
        <w:t xml:space="preserve">Our analysis reveals that clients in Tehran specifically prioritize Software Engineer capabilities demonstrating familiarity with local payment gateways (like Saman), compliance frameworks (e.g., Iran's Cybersecurity Law), and solutions optimized for regional internet infrastructure constraints. This localization is a key differentiator in our sales strategy.</w:t>
      </w:r>
    </w:p>
    <w:bookmarkEnd w:id="23"/>
    <w:bookmarkStart w:id="24" w:name="challenges-strategic-imperatives"/>
    <w:p>
      <w:pPr>
        <w:pStyle w:val="Heading2"/>
      </w:pPr>
      <w:r>
        <w:t xml:space="preserve">Challenges &amp; Strategic Imperatives</w:t>
      </w:r>
    </w:p>
    <w:p>
      <w:pPr>
        <w:pStyle w:val="FirstParagraph"/>
      </w:pPr>
      <w:r>
        <w:t xml:space="preserve">The Sales Report identifies critical challenges impacting performance in the Iran Tehran market:</w:t>
      </w:r>
    </w:p>
    <w:p>
      <w:pPr>
        <w:numPr>
          <w:ilvl w:val="0"/>
          <w:numId w:val="1003"/>
        </w:numPr>
        <w:pStyle w:val="Compact"/>
      </w:pPr>
      <w:r>
        <w:rPr>
          <w:bCs/>
          <w:b/>
        </w:rPr>
        <w:t xml:space="preserve">Sanction-Induced Tool Limitations:</w:t>
      </w:r>
      <w:r>
        <w:t xml:space="preserve"> </w:t>
      </w:r>
      <w:r>
        <w:t xml:space="preserve">Restricted access to certain cloud platforms (AWS, Azure) has increased project setup costs by 15%. Our response: Accelerated development of a compliant, locally-hosted cloud platform solution (launched Q1), which contributed $1.2M in revenue.</w:t>
      </w:r>
    </w:p>
    <w:p>
      <w:pPr>
        <w:numPr>
          <w:ilvl w:val="0"/>
          <w:numId w:val="1003"/>
        </w:numPr>
        <w:pStyle w:val="Compact"/>
      </w:pPr>
      <w:r>
        <w:rPr>
          <w:bCs/>
          <w:b/>
        </w:rPr>
        <w:t xml:space="preserve">Talent Retention Pressure:</w:t>
      </w:r>
      <w:r>
        <w:t xml:space="preserve"> </w:t>
      </w:r>
      <w:r>
        <w:t xml:space="preserve">Tehran's competitive job market sees Software Engineer turnover at 23% annually—above the national average. We mitigated this via enhanced professional development programs, directly improving team stability and client service quality.</w:t>
      </w:r>
    </w:p>
    <w:p>
      <w:pPr>
        <w:numPr>
          <w:ilvl w:val="0"/>
          <w:numId w:val="1003"/>
        </w:numPr>
        <w:pStyle w:val="Compact"/>
      </w:pPr>
      <w:r>
        <w:rPr>
          <w:bCs/>
          <w:b/>
        </w:rPr>
        <w:t xml:space="preserve">Payment Processing Complexities:</w:t>
      </w:r>
      <w:r>
        <w:t xml:space="preserve"> </w:t>
      </w:r>
      <w:r>
        <w:t xml:space="preserve">International payment friction requires localized billing structures. Our Iran Tehran-based finance team implemented a streamlined B2B invoice system, reducing payment delays by 40%.</w:t>
      </w:r>
    </w:p>
    <w:bookmarkEnd w:id="24"/>
    <w:bookmarkStart w:id="25" w:name="strategic-recommendations-for-q2-beyond"/>
    <w:p>
      <w:pPr>
        <w:pStyle w:val="Heading2"/>
      </w:pPr>
      <w:r>
        <w:t xml:space="preserve">Strategic Recommendations for Q2 &amp; Beyond</w:t>
      </w:r>
    </w:p>
    <w:p>
      <w:pPr>
        <w:pStyle w:val="FirstParagraph"/>
      </w:pPr>
      <w:r>
        <w:t xml:space="preserve">Based on this Sales Report data, we recommend:</w:t>
      </w:r>
    </w:p>
    <w:p>
      <w:pPr>
        <w:numPr>
          <w:ilvl w:val="0"/>
          <w:numId w:val="1004"/>
        </w:numPr>
        <w:pStyle w:val="Compact"/>
      </w:pPr>
      <w:r>
        <w:rPr>
          <w:bCs/>
          <w:b/>
        </w:rPr>
        <w:t xml:space="preserve">Expand Tehran Talent Pipeline:</w:t>
      </w:r>
      <w:r>
        <w:t xml:space="preserve"> </w:t>
      </w:r>
      <w:r>
        <w:t xml:space="preserve">Partner with Sharif University and Amirkabir University to create a dedicated "Tehran Software Engineer Fellowship," directly addressing the talent gap.</w:t>
      </w:r>
    </w:p>
    <w:p>
      <w:pPr>
        <w:numPr>
          <w:ilvl w:val="0"/>
          <w:numId w:val="1004"/>
        </w:numPr>
        <w:pStyle w:val="Compact"/>
      </w:pPr>
      <w:r>
        <w:rPr>
          <w:bCs/>
          <w:b/>
        </w:rPr>
        <w:t xml:space="preserve">Prioritize Localized Tech Stack:</w:t>
      </w:r>
      <w:r>
        <w:t xml:space="preserve"> </w:t>
      </w:r>
      <w:r>
        <w:t xml:space="preserve">Invest in optimizing our core product suite for Iran's specific infrastructure realities (e.g., offline-first features, lower-bandwidth UIs), a key selling point for Tehran-based clients.</w:t>
      </w:r>
    </w:p>
    <w:p>
      <w:pPr>
        <w:numPr>
          <w:ilvl w:val="0"/>
          <w:numId w:val="1004"/>
        </w:numPr>
        <w:pStyle w:val="Compact"/>
      </w:pPr>
      <w:r>
        <w:rPr>
          <w:bCs/>
          <w:b/>
        </w:rPr>
        <w:t xml:space="preserve">Enhance Government Engagement:</w:t>
      </w:r>
      <w:r>
        <w:t xml:space="preserve"> </w:t>
      </w:r>
      <w:r>
        <w:t xml:space="preserve">Leverage successful public-sector projects (e.g., digital health platform for Tehran Municipality) to secure repeat contracts in this high-potential segment.</w:t>
      </w:r>
    </w:p>
    <w:bookmarkEnd w:id="25"/>
    <w:bookmarkStart w:id="26" w:name="Xe7ee7d57d6efb1146181680d90ae3b4140c120c"/>
    <w:p>
      <w:pPr>
        <w:pStyle w:val="Heading2"/>
      </w:pPr>
      <w:r>
        <w:t xml:space="preserve">Conclusion: The Unshakeable Value of Software Engineering Talent</w:t>
      </w:r>
    </w:p>
    <w:p>
      <w:pPr>
        <w:pStyle w:val="FirstParagraph"/>
      </w:pPr>
      <w:r>
        <w:t xml:space="preserve">This Sales Report conclusively demonstrates that in the Iran Tehran market, expertise from a skilled Software Engineer is not just valuable—it's the primary catalyst for revenue growth and client retention. Our Q1 results prove that companies with deep local market knowledge and adaptable engineering capabilities can thrive despite external constraints. The 18% demand surge for software engineering services in Tehran reaffirms our strategic focus on this ecosystem.</w:t>
      </w:r>
    </w:p>
    <w:p>
      <w:pPr>
        <w:pStyle w:val="BodyText"/>
      </w:pPr>
      <w:r>
        <w:t xml:space="preserve">As we move into the second quarter, our priority is to translate this momentum into sustainable scale. By embedding our Software Engineer talent directly within the Iran Tehran innovation fabric—through partnerships, localized solutions, and exceptional client delivery—we will cement our leadership position. The path forward is clear: invest in talent where demand is highest, solve problems where constraints are greatest, and build the future of technology for Iran from its heartland in Tehran.</w:t>
      </w:r>
    </w:p>
    <w:p>
      <w:pPr>
        <w:pStyle w:val="BodyText"/>
      </w:pPr>
      <w:r>
        <w:rPr>
          <w:iCs/>
          <w:i/>
        </w:rPr>
        <w:t xml:space="preserve">Prepared with precision for the Iran Tehran technology community by TechSolutions Consulting Group | All figures based on verified Q1 2024 sales data from our Tehran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Software Engineering Services Market Analysis - Iran Tehran</dc:title>
  <dc:creator/>
  <dc:language>en</dc:language>
  <cp:keywords/>
  <dcterms:created xsi:type="dcterms:W3CDTF">2026-07-13T05:54:36Z</dcterms:created>
  <dcterms:modified xsi:type="dcterms:W3CDTF">2026-07-13T05:54:36Z</dcterms:modified>
</cp:coreProperties>
</file>

<file path=docProps/custom.xml><?xml version="1.0" encoding="utf-8"?>
<Properties xmlns="http://schemas.openxmlformats.org/officeDocument/2006/custom-properties" xmlns:vt="http://schemas.openxmlformats.org/officeDocument/2006/docPropsVTypes"/>
</file>