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2024</w:t>
      </w:r>
      <w:r>
        <w:t xml:space="preserve"> </w:t>
      </w: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Software</w:t>
      </w:r>
      <w:r>
        <w:t xml:space="preserve"> </w:t>
      </w:r>
      <w:r>
        <w:t xml:space="preserve">Engineers</w:t>
      </w:r>
      <w:r>
        <w:t xml:space="preserve"> </w:t>
      </w:r>
      <w:r>
        <w:t xml:space="preserve">in</w:t>
      </w:r>
      <w:r>
        <w:t xml:space="preserve"> </w:t>
      </w:r>
      <w:r>
        <w:t xml:space="preserve">Japan</w:t>
      </w:r>
      <w:r>
        <w:t xml:space="preserve"> </w:t>
      </w:r>
      <w:r>
        <w:t xml:space="preserve">Tokyo</w:t>
      </w:r>
      <w:r>
        <w:t xml:space="preserve"> </w:t>
      </w:r>
      <w:r>
        <w:t xml:space="preserve">Market</w:t>
      </w:r>
    </w:p>
    <w:bookmarkStart w:id="27" w:name="X2fb8a2babf91bcfc3833bcbae629e0ee6d5e300"/>
    <w:p>
      <w:pPr>
        <w:pStyle w:val="Heading1"/>
      </w:pPr>
      <w:r>
        <w:t xml:space="preserve">Q3 2024 Sales Report: Strategic Recruitment of Software Engineers in Japan Tokyo Market</w:t>
      </w:r>
    </w:p>
    <w:p>
      <w:pPr>
        <w:pStyle w:val="FirstParagraph"/>
      </w:pPr>
      <w:r>
        <w:rPr>
          <w:bCs/>
          <w:b/>
        </w:rPr>
        <w:t xml:space="preserve">Prepared For:</w:t>
      </w:r>
      <w:r>
        <w:t xml:space="preserve"> </w:t>
      </w:r>
      <w:r>
        <w:t xml:space="preserve">Executive Leadership &amp; Global Talent Acquisition Team</w:t>
      </w:r>
      <w:r>
        <w:br/>
      </w:r>
      <w:r>
        <w:rPr>
          <w:bCs/>
          <w:b/>
        </w:rPr>
        <w:t xml:space="preserve">Date:</w:t>
      </w:r>
      <w:r>
        <w:t xml:space="preserve"> </w:t>
      </w:r>
      <w:r>
        <w:t xml:space="preserve">October 26, 2024</w:t>
      </w:r>
      <w:r>
        <w:br/>
      </w:r>
      <w:r>
        <w:rPr>
          <w:bCs/>
          <w:b/>
        </w:rPr>
        <w:t xml:space="preserve">Purpose:</w:t>
      </w:r>
      <w:r>
        <w:t xml:space="preserve"> </w:t>
      </w:r>
      <w:r>
        <w:t xml:space="preserve">To detail sales performance, market insights, and strategic initiatives related to Software Engineer recruitment within the Japan Tokyo ecosystem.</w:t>
      </w:r>
    </w:p>
    <w:bookmarkStart w:id="20" w:name="executive-summary"/>
    <w:p>
      <w:pPr>
        <w:pStyle w:val="Heading2"/>
      </w:pPr>
      <w:r>
        <w:t xml:space="preserve">Executive Summary</w:t>
      </w:r>
    </w:p>
    <w:p>
      <w:pPr>
        <w:pStyle w:val="FirstParagraph"/>
      </w:pPr>
      <w:r>
        <w:t xml:space="preserve">The Q3 2024 Sales Report demonstrates a significant 37% year-over-year increase in qualified Software Engineer placements within the Tokyo metropolitan area, directly contributing ¥850 million (approx. $5.8M USD) to our global talent acquisition revenue stream. This success stems from an integrated market-specific strategy targeting the high-demand Japan Tokyo tech corridor, where demand for specialized Software Engineers has surged due to AI-driven digital transformation across finance, automotive, and fintech sectors. Our Tokyo-based recruitment team achieved a 92% client retention rate by aligning candidate profiles with the precise cultural and technical expectations of Japanese enterprises—proving that tailored Sales Report insights are critical for sustainable growth in this competitive market.</w:t>
      </w:r>
    </w:p>
    <w:bookmarkEnd w:id="20"/>
    <w:bookmarkStart w:id="21" w:name="X3ec7d92fbc432c96fcd363b6fba22170ff64ec1"/>
    <w:p>
      <w:pPr>
        <w:pStyle w:val="Heading2"/>
      </w:pPr>
      <w:r>
        <w:t xml:space="preserve">Market Analysis: Why Japan Tokyo is the Engine of Growth</w:t>
      </w:r>
    </w:p>
    <w:p>
      <w:pPr>
        <w:pStyle w:val="FirstParagraph"/>
      </w:pPr>
      <w:r>
        <w:t xml:space="preserve">Japan’s Tokyo metropolitan area (population: 37 million) remains the undisputed epicenter of technological innovation in East Asia. As of Q3 2024, Tokyo accounts for 68% of all high-value Software Engineer job postings in Japan, driven by:</w:t>
      </w:r>
    </w:p>
    <w:p>
      <w:pPr>
        <w:numPr>
          <w:ilvl w:val="0"/>
          <w:numId w:val="1001"/>
        </w:numPr>
        <w:pStyle w:val="Compact"/>
      </w:pPr>
      <w:r>
        <w:rPr>
          <w:bCs/>
          <w:b/>
        </w:rPr>
        <w:t xml:space="preserve">Corporate Digital Transformation:</w:t>
      </w:r>
      <w:r>
        <w:t xml:space="preserve"> </w:t>
      </w:r>
      <w:r>
        <w:t xml:space="preserve">Major Japanese keiretsu (e.g., Mitsubishi, SoftBank) are aggressively recruiting to build AI/ML platforms for legacy systems.</w:t>
      </w:r>
    </w:p>
    <w:p>
      <w:pPr>
        <w:numPr>
          <w:ilvl w:val="0"/>
          <w:numId w:val="1001"/>
        </w:numPr>
        <w:pStyle w:val="Compact"/>
      </w:pPr>
      <w:r>
        <w:rPr>
          <w:bCs/>
          <w:b/>
        </w:rPr>
        <w:t xml:space="preserve">Tech Hub Expansion:</w:t>
      </w:r>
      <w:r>
        <w:t xml:space="preserve"> </w:t>
      </w:r>
      <w:r>
        <w:t xml:space="preserve">New startup incubators in Shibuya and Roppongi have increased demand for mid-senior Software Engineers by 44% YoY.</w:t>
      </w:r>
    </w:p>
    <w:p>
      <w:pPr>
        <w:numPr>
          <w:ilvl w:val="0"/>
          <w:numId w:val="1001"/>
        </w:numPr>
        <w:pStyle w:val="Compact"/>
      </w:pPr>
      <w:r>
        <w:rPr>
          <w:bCs/>
          <w:b/>
        </w:rPr>
        <w:t xml:space="preserve">Government Incentives:</w:t>
      </w:r>
      <w:r>
        <w:t xml:space="preserve"> </w:t>
      </w:r>
      <w:r>
        <w:t xml:space="preserve">The Japanese Ministry of Economy, Trade and Industry’s (METI) "Society 5.0" initiative offers tax breaks to companies hiring foreign tech talent, accelerating our sales pipeline.</w:t>
      </w:r>
    </w:p>
    <w:p>
      <w:pPr>
        <w:pStyle w:val="FirstParagraph"/>
      </w:pPr>
      <w:r>
        <w:t xml:space="preserve">This market dynamic positions Tokyo as the strategic priority for our global Software Engineer sales efforts. Our Sales Report tracks a 29% rise in enterprise clients specifically requesting "Tokyo-based Software Engineers with Japanese language proficiency," confirming that location and cultural alignment are non-negotiable for Japanese employers.</w:t>
      </w:r>
    </w:p>
    <w:bookmarkEnd w:id="21"/>
    <w:bookmarkStart w:id="22" w:name="X5c78b873ee9d785a5a3015f0abe8cac6b32f9c4"/>
    <w:p>
      <w:pPr>
        <w:pStyle w:val="Heading2"/>
      </w:pPr>
      <w:r>
        <w:t xml:space="preserve">Recruitment Strategy: Selling the Tokyo Opportunity</w:t>
      </w:r>
    </w:p>
    <w:p>
      <w:pPr>
        <w:pStyle w:val="FirstParagraph"/>
      </w:pPr>
      <w:r>
        <w:t xml:space="preserve">Rather than treating this as a standard recruitment operation, we executed a targeted Sales Report-driven approach centered on "selling" the Tokyo Software Engineer role to elite candidates. Key initiatives included:</w:t>
      </w:r>
    </w:p>
    <w:p>
      <w:pPr>
        <w:numPr>
          <w:ilvl w:val="0"/>
          <w:numId w:val="1002"/>
        </w:numPr>
        <w:pStyle w:val="Compact"/>
      </w:pPr>
      <w:r>
        <w:rPr>
          <w:bCs/>
          <w:b/>
        </w:rPr>
        <w:t xml:space="preserve">Cultural Integration Packages:</w:t>
      </w:r>
      <w:r>
        <w:t xml:space="preserve"> </w:t>
      </w:r>
      <w:r>
        <w:t xml:space="preserve">Developed bespoke offerings highlighting Tokyo’s work-life balance (e.g., subsidized housing near Shinkansen stations, company-sponsored Japanese language classes) to differentiate us in a crowded market.</w:t>
      </w:r>
    </w:p>
    <w:p>
      <w:pPr>
        <w:numPr>
          <w:ilvl w:val="0"/>
          <w:numId w:val="1002"/>
        </w:numPr>
        <w:pStyle w:val="Compact"/>
      </w:pPr>
      <w:r>
        <w:rPr>
          <w:bCs/>
          <w:b/>
        </w:rPr>
        <w:t xml:space="preserve">Client-Centric Sales Framework:</w:t>
      </w:r>
      <w:r>
        <w:t xml:space="preserve"> </w:t>
      </w:r>
      <w:r>
        <w:t xml:space="preserve">Trained our sales team to present Software Engineer roles as "strategic investments" for clients—emphasizing ROI via reduced time-to-hire (down 31% from Q2) and higher retention rates (89% at 12 months).</w:t>
      </w:r>
    </w:p>
    <w:p>
      <w:pPr>
        <w:numPr>
          <w:ilvl w:val="0"/>
          <w:numId w:val="1002"/>
        </w:numPr>
        <w:pStyle w:val="Compact"/>
      </w:pPr>
      <w:r>
        <w:rPr>
          <w:bCs/>
          <w:b/>
        </w:rPr>
        <w:t xml:space="preserve">Tokyo-Specific Talent Sourcing:</w:t>
      </w:r>
      <w:r>
        <w:t xml:space="preserve"> </w:t>
      </w:r>
      <w:r>
        <w:t xml:space="preserve">Partnered with Tokyo University of Science and Waseda University to co-host "Tech Career Fairs," generating 270 qualified Software Engineer leads (35% conversion rate to interviews).</w:t>
      </w:r>
    </w:p>
    <w:p>
      <w:pPr>
        <w:pStyle w:val="FirstParagraph"/>
      </w:pPr>
      <w:r>
        <w:t xml:space="preserve">This strategy directly addressed the unique challenges of Japan Tokyo: High cost of living (rent averages ¥250,000/month in central Tokyo) and strong preference for candidates with Japanese business etiquette. By embedding these insights into every Sales Report metric, we reduced candidate drop-off by 41% compared to global benchmarks.</w:t>
      </w:r>
    </w:p>
    <w:bookmarkEnd w:id="22"/>
    <w:bookmarkStart w:id="23" w:name="performance-metrics-q3-key-results"/>
    <w:p>
      <w:pPr>
        <w:pStyle w:val="Heading2"/>
      </w:pPr>
      <w:r>
        <w:t xml:space="preserve">Performance Metrics: Q3 Key Results</w:t>
      </w:r>
    </w:p>
    <w:p>
      <w:pPr>
        <w:pStyle w:val="FirstParagraph"/>
      </w:pPr>
      <w:r>
        <w:t xml:space="preserve">KPI</w:t>
      </w:r>
    </w:p>
    <w:p>
      <w:pPr>
        <w:pStyle w:val="BodyText"/>
      </w:pPr>
      <w:r>
        <w:t xml:space="preserve">Q3 2024</w:t>
      </w:r>
    </w:p>
    <w:p>
      <w:pPr>
        <w:pStyle w:val="BodyText"/>
      </w:pPr>
      <w:r>
        <w:t xml:space="preserve">Q3 2023 (YoY Δ)</w:t>
      </w:r>
    </w:p>
    <w:p>
      <w:pPr>
        <w:pStyle w:val="BodyText"/>
      </w:pPr>
      <w:r>
        <w:t xml:space="preserve">Target</w:t>
      </w:r>
    </w:p>
    <w:p>
      <w:pPr>
        <w:pStyle w:val="BodyText"/>
      </w:pPr>
      <w:r>
        <w:t xml:space="preserve">Software Engineer Placements (Tokyo)</w:t>
      </w:r>
    </w:p>
    <w:p>
      <w:pPr>
        <w:pStyle w:val="BodyText"/>
      </w:pPr>
      <w:r>
        <w:t xml:space="preserve">148</w:t>
      </w:r>
    </w:p>
    <w:p>
      <w:pPr>
        <w:pStyle w:val="BodyText"/>
      </w:pPr>
      <w:r>
        <w:t xml:space="preserve">+37%</w:t>
      </w:r>
    </w:p>
    <w:p>
      <w:pPr>
        <w:pStyle w:val="BodyText"/>
      </w:pPr>
      <w:r>
        <w:t xml:space="preserve">N/A</w:t>
      </w:r>
    </w:p>
    <w:p>
      <w:pPr>
        <w:pStyle w:val="BodyText"/>
      </w:pPr>
      <w:r>
        <w:t xml:space="preserve">Average Revenue Per Placement (¥)</w:t>
      </w:r>
    </w:p>
    <w:p>
      <w:pPr>
        <w:pStyle w:val="BodyText"/>
      </w:pPr>
      <w:r>
        <w:t xml:space="preserve">5,743,000</w:t>
      </w:r>
    </w:p>
    <w:p>
      <w:pPr>
        <w:pStyle w:val="BodyText"/>
      </w:pPr>
      <w:r>
        <w:t xml:space="preserve">+19%</w:t>
      </w:r>
    </w:p>
    <w:p>
      <w:pPr>
        <w:pStyle w:val="BodyText"/>
      </w:pPr>
      <w:r>
        <w:t xml:space="preserve">Client Retention Rate (Tokyo)</w:t>
      </w:r>
    </w:p>
    <w:p>
      <w:pPr>
        <w:pStyle w:val="BodyText"/>
      </w:pPr>
      <w:r>
        <w:t xml:space="preserve">92%</w:t>
      </w:r>
    </w:p>
    <w:p>
      <w:pPr>
        <w:pStyle w:val="BodyText"/>
      </w:pPr>
      <w:r>
        <w:t xml:space="preserve">Candidate Offer Acceptance Rate</w:t>
      </w:r>
    </w:p>
    <w:p>
      <w:pPr>
        <w:pStyle w:val="BodyText"/>
      </w:pPr>
      <w:r>
        <w:t xml:space="preserve">83%</w:t>
      </w:r>
    </w:p>
    <w:p>
      <w:pPr>
        <w:pStyle w:val="BodyText"/>
      </w:pPr>
      <w:r>
        <w:t xml:space="preserve">Sales Cycle Time (Days)</w:t>
      </w:r>
    </w:p>
    <w:p>
      <w:pPr>
        <w:pStyle w:val="BodyText"/>
      </w:pPr>
      <w:r>
        <w:t xml:space="preserve">38</w:t>
      </w:r>
    </w:p>
    <w:p>
      <w:pPr>
        <w:pStyle w:val="BodyText"/>
      </w:pPr>
      <w:r>
        <w:t xml:space="preserve">The 92% client retention rate is particularly significant—it indicates that Tokyo-based Software Engineer placements meet or exceed the stringent quality expectations of Japanese enterprises, directly boosting our sales credibility. Notably, clients in Tokyo reported a 34% faster time-to-productivity for engineers placed through our service versus competitors.</w:t>
      </w:r>
    </w:p>
    <w:bookmarkEnd w:id="23"/>
    <w:bookmarkStart w:id="24" w:name="challenges-strategic-adjustments"/>
    <w:p>
      <w:pPr>
        <w:pStyle w:val="Heading2"/>
      </w:pPr>
      <w:r>
        <w:t xml:space="preserve">Challenges &amp; Strategic Adjustments</w:t>
      </w:r>
    </w:p>
    <w:p>
      <w:pPr>
        <w:pStyle w:val="FirstParagraph"/>
      </w:pPr>
      <w:r>
        <w:t xml:space="preserve">Despite success, we identified two critical challenges requiring immediate Sales Report refinement:</w:t>
      </w:r>
    </w:p>
    <w:p>
      <w:pPr>
        <w:numPr>
          <w:ilvl w:val="0"/>
          <w:numId w:val="1003"/>
        </w:numPr>
        <w:pStyle w:val="Compact"/>
      </w:pPr>
      <w:r>
        <w:rPr>
          <w:bCs/>
          <w:b/>
        </w:rPr>
        <w:t xml:space="preserve">Language Barrier Escalation:</w:t>
      </w:r>
      <w:r>
        <w:t xml:space="preserve"> </w:t>
      </w:r>
      <w:r>
        <w:t xml:space="preserve">63% of clients requested "Software Engineers fluent in Japanese (JLPT N2+)," yet only 48% of global candidates met this standard. *Action:* Launched a "Tokyo Language Bootcamp" partnership with Osaka University, increasing qualified candidates by 22% in Q4.</w:t>
      </w:r>
    </w:p>
    <w:p>
      <w:pPr>
        <w:numPr>
          <w:ilvl w:val="0"/>
          <w:numId w:val="1003"/>
        </w:numPr>
        <w:pStyle w:val="Compact"/>
      </w:pPr>
      <w:r>
        <w:rPr>
          <w:bCs/>
          <w:b/>
        </w:rPr>
        <w:t xml:space="preserve">Competition Intensification:</w:t>
      </w:r>
      <w:r>
        <w:t xml:space="preserve"> </w:t>
      </w:r>
      <w:r>
        <w:t xml:space="preserve">Local Tokyo recruiters (e.g., Recruit Holdings) undercut pricing by 15%. *Action:* Shifted sales focus from price to value—highlighting our Japan-specific compliance expertise (e.g., data privacy laws under APPI) and reduced client risk.</w:t>
      </w:r>
    </w:p>
    <w:bookmarkEnd w:id="24"/>
    <w:bookmarkStart w:id="25" w:name="q4-2024-strategic-outlook"/>
    <w:p>
      <w:pPr>
        <w:pStyle w:val="Heading2"/>
      </w:pPr>
      <w:r>
        <w:t xml:space="preserve">Q4 2024 Strategic Outlook</w:t>
      </w:r>
    </w:p>
    <w:p>
      <w:pPr>
        <w:pStyle w:val="FirstParagraph"/>
      </w:pPr>
      <w:r>
        <w:t xml:space="preserve">Based on Q3 momentum, we project a 30% revenue increase in the Japan Tokyo Software Engineer segment for Q4. Our Sales Report roadmap includes:</w:t>
      </w:r>
    </w:p>
    <w:p>
      <w:pPr>
        <w:numPr>
          <w:ilvl w:val="0"/>
          <w:numId w:val="1004"/>
        </w:numPr>
        <w:pStyle w:val="Compact"/>
      </w:pPr>
      <w:r>
        <w:rPr>
          <w:bCs/>
          <w:b/>
        </w:rPr>
        <w:t xml:space="preserve">Expanding "Tokyo Talent Pods":</w:t>
      </w:r>
      <w:r>
        <w:t xml:space="preserve"> </w:t>
      </w:r>
      <w:r>
        <w:t xml:space="preserve">Creating dedicated teams of recruiters fluent in both Japanese business culture and English to service enterprise clients like Sumitomo Mitsui Financial Group.</w:t>
      </w:r>
    </w:p>
    <w:p>
      <w:pPr>
        <w:numPr>
          <w:ilvl w:val="0"/>
          <w:numId w:val="1004"/>
        </w:numPr>
        <w:pStyle w:val="Compact"/>
      </w:pPr>
      <w:r>
        <w:rPr>
          <w:bCs/>
          <w:b/>
        </w:rPr>
        <w:t xml:space="preserve">Pricing Tier Optimization:</w:t>
      </w:r>
      <w:r>
        <w:t xml:space="preserve"> </w:t>
      </w:r>
      <w:r>
        <w:t xml:space="preserve">Introducing premium tiers for "Senior Tokyo Software Engineers" (¥15M+ salary range), targeting automotive giants (e.g., Toyota, Nissan) undergoing autonomous vehicle software development.</w:t>
      </w:r>
    </w:p>
    <w:p>
      <w:pPr>
        <w:numPr>
          <w:ilvl w:val="0"/>
          <w:numId w:val="1004"/>
        </w:numPr>
        <w:pStyle w:val="Compact"/>
      </w:pPr>
      <w:r>
        <w:rPr>
          <w:bCs/>
          <w:b/>
        </w:rPr>
        <w:t xml:space="preserve">AI-Powered Matching:</w:t>
      </w:r>
      <w:r>
        <w:t xml:space="preserve"> </w:t>
      </w:r>
      <w:r>
        <w:t xml:space="preserve">Implementing a Japan-specific AI tool to predict candidate retention in Tokyo based on cultural fit variables—projected to increase placement success by 25%.</w:t>
      </w:r>
    </w:p>
    <w:bookmarkEnd w:id="25"/>
    <w:bookmarkStart w:id="26" w:name="conclusion"/>
    <w:p>
      <w:pPr>
        <w:pStyle w:val="Heading2"/>
      </w:pPr>
      <w:r>
        <w:t xml:space="preserve">Conclusion</w:t>
      </w:r>
    </w:p>
    <w:p>
      <w:pPr>
        <w:pStyle w:val="FirstParagraph"/>
      </w:pPr>
      <w:r>
        <w:t xml:space="preserve">The Q3 2024 Sales Report unequivocally confirms that the Japan Tokyo market is not merely a regional segment but the strategic cornerstone of our global Software Engineer sales strategy. By embedding deep cultural intelligence into every recruitment transaction—ensuring candidates understand Tokyo’s work ethos and clients grasp the value of our Japan-specific expertise—we’ve transformed traditional talent acquisition into a high-margin, scalable revenue engine. The 37% YoY growth in Tokyo-based Software Engineer placements proves that when Sales Reports prioritize hyperlocal market dynamics over generic approaches, the results resonate across every stakeholder: clients achieve faster innovation, engineers secure fulfilling careers in Tokyo’s tech ecosystem, and our business delivers sustainable profitability. As we advance into Q4, our commitment to treating Japan Tokyo not as a location but as a strategic growth pillar will define our next phase of success.</w:t>
      </w:r>
    </w:p>
    <w:p>
      <w:pPr>
        <w:pStyle w:val="BodyText"/>
      </w:pPr>
      <w:r>
        <w:rPr>
          <w:iCs/>
          <w:i/>
        </w:rPr>
        <w:t xml:space="preserve">Prepared by: Global Talent Sales &amp; Strategy Division</w:t>
      </w:r>
      <w:r>
        <w:br/>
      </w:r>
      <w:r>
        <w:rPr>
          <w:iCs/>
          <w:i/>
        </w:rPr>
        <w:t xml:space="preserve">Approved By: CEO, Global Talent Solutions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2024 Sales Report: Strategic Recruitment of Software Engineers in Japan Tokyo Market</dc:title>
  <dc:creator/>
  <dc:language>en</dc:language>
  <cp:keywords/>
  <dcterms:created xsi:type="dcterms:W3CDTF">2026-07-17T06:47:19Z</dcterms:created>
  <dcterms:modified xsi:type="dcterms:W3CDTF">2026-07-17T06:47:19Z</dcterms:modified>
</cp:coreProperties>
</file>

<file path=docProps/custom.xml><?xml version="1.0" encoding="utf-8"?>
<Properties xmlns="http://schemas.openxmlformats.org/officeDocument/2006/custom-properties" xmlns:vt="http://schemas.openxmlformats.org/officeDocument/2006/docPropsVTypes"/>
</file>