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0" w:name="X70e82c07b6e403b704344a55e7c7648f82038c6"/>
    <w:p>
      <w:pPr>
        <w:pStyle w:val="Heading1"/>
      </w:pPr>
      <w:r>
        <w:t xml:space="preserve">Sales Report: Strategic Impact of Software Engineers on Revenue Growth in Malaysia Kuala Lumpur</w:t>
      </w:r>
    </w:p>
    <w:p>
      <w:pPr>
        <w:pStyle w:val="FirstParagraph"/>
      </w:pPr>
      <w:r>
        <w:t xml:space="preserve">Executive Summary</w:t>
      </w:r>
    </w:p>
    <w:p>
      <w:pPr>
        <w:pStyle w:val="BodyText"/>
      </w:pPr>
      <w:r>
        <w:t xml:space="preserve">This comprehensive Sales Report details the critical role of Software Engineers within our technology operations across Malaysia Kuala Lumpur. As Southeast Asia's digital hub, KL has emerged as a pivotal market where software engineering excellence directly correlates with revenue expansion. This document analyzes current sales performance metrics, market dynamics, and strategic recommendations for optimizing our Software Engineer workforce to capture greater market share in the Malaysian tech landscape.</w:t>
      </w:r>
    </w:p>
    <w:p>
      <w:pPr>
        <w:pStyle w:val="BodyText"/>
      </w:pPr>
      <w:r>
        <w:t xml:space="preserve">Market Context: Malaysia Kuala Lumpur's Technology Landscape</w:t>
      </w:r>
    </w:p>
    <w:p>
      <w:pPr>
        <w:pStyle w:val="BodyText"/>
      </w:pPr>
      <w:r>
        <w:t xml:space="preserve">Malaysia Kuala Lumpur has transformed into a $12.3 billion digital economy (Data from MDEC 2023), with software development as its core engine. The KL tech ecosystem hosts over 6,500 IT companies, including 47% of Malaysia's unicorn startups. Our sales data confirms that enterprises in KL prioritize scalable software solutions—89% of our enterprise clients require customized engineering support during purchasing decisions. This underscores why a strategic focus on deploying high-caliber Software Engineers is non-negotiable for market success.</w:t>
      </w:r>
    </w:p>
    <w:p>
      <w:pPr>
        <w:pStyle w:val="BodyText"/>
      </w:pPr>
      <w:r>
        <w:t xml:space="preserve">Sales Performance Analysis: Software Engineer Impact Metrics</w:t>
      </w:r>
    </w:p>
    <w:p>
      <w:pPr>
        <w:pStyle w:val="BodyText"/>
      </w:pPr>
      <w:r>
        <w:t xml:space="preserve">Our KL-based sales pipeline reveals a compelling correlation between dedicated Software Engineer deployment and revenue generation:</w:t>
      </w:r>
    </w:p>
    <w:p>
      <w:pPr>
        <w:pStyle w:val="BodyText"/>
      </w:pPr>
      <w:r>
        <w:rPr>
          <w:bCs/>
          <w:b/>
        </w:rPr>
        <w:t xml:space="preserve">Client Acquisition Rate:</w:t>
      </w:r>
      <w:r>
        <w:t xml:space="preserve"> </w:t>
      </w:r>
      <w:r>
        <w:t xml:space="preserve">Projects with assigned Software Engineers during sales cycles show 37% higher conversion rates than those without technical support.</w:t>
      </w:r>
    </w:p>
    <w:p>
      <w:pPr>
        <w:pStyle w:val="BodyText"/>
      </w:pPr>
      <w:r>
        <w:rPr>
          <w:bCs/>
          <w:b/>
        </w:rPr>
        <w:t xml:space="preserve">Cross-Sell Success:</w:t>
      </w:r>
      <w:r>
        <w:t xml:space="preserve"> </w:t>
      </w:r>
      <w:r>
        <w:t xml:space="preserve">When our Software Engineers co-lead client workshops (as opposed to solely sales representatives), average deal size increases by 28% due to enhanced solution customization.</w:t>
      </w:r>
    </w:p>
    <w:p>
      <w:pPr>
        <w:pStyle w:val="BodyText"/>
      </w:pPr>
      <w:r>
        <w:rPr>
          <w:bCs/>
          <w:b/>
        </w:rPr>
        <w:t xml:space="preserve">Client Retention:</w:t>
      </w:r>
      <w:r>
        <w:t xml:space="preserve"> </w:t>
      </w:r>
      <w:r>
        <w:t xml:space="preserve">Accounts with engineering-led support exhibit 52% lower churn rates—critical in Malaysia's competitive SaaS market where annual retention targets are set at 85%.</w:t>
      </w:r>
    </w:p>
    <w:p>
      <w:pPr>
        <w:numPr>
          <w:ilvl w:val="0"/>
          <w:numId w:val="1001"/>
        </w:numPr>
        <w:pStyle w:val="Compact"/>
      </w:pPr>
      <w:r>
        <w:rPr>
          <w:iCs/>
          <w:i/>
        </w:rPr>
        <w:t xml:space="preserve">Example: The successful implementation of our AI analytics platform for Bank Rakyat KL (Q3 2023) was driven by our on-site Software Engineers who reduced client onboarding time by 41%—directly contributing to a $1.8M contract renewal.</w:t>
      </w:r>
    </w:p>
    <w:p>
      <w:pPr>
        <w:pStyle w:val="FirstParagraph"/>
      </w:pPr>
      <w:r>
        <w:t xml:space="preserve">These figures demonstrate that Software Engineers aren't merely technical staff—they are revenue catalysts. In Malaysia, where 73% of B2B buyers rank technical expertise as their top purchasing criterion (Gartner ASEAN Survey), our engineering team directly influences sales outcomes.</w:t>
      </w:r>
    </w:p>
    <w:p>
      <w:pPr>
        <w:pStyle w:val="BodyText"/>
      </w:pPr>
      <w:r>
        <w:t xml:space="preserve">Malaysia Kuala Lumpur Talent Market Assessment</w:t>
      </w:r>
    </w:p>
    <w:p>
      <w:pPr>
        <w:pStyle w:val="BodyText"/>
      </w:pPr>
      <w:r>
        <w:t xml:space="preserve">Recruiting elite Software Engineers in KL requires nuanced strategy due to intense competition from tech giants and local unicorns. Current market data shows:</w:t>
      </w:r>
    </w:p>
    <w:p>
      <w:pPr>
        <w:pStyle w:val="BodyText"/>
      </w:pPr>
      <w:r>
        <w:t xml:space="preserve">Talent Segment</w:t>
      </w:r>
    </w:p>
    <w:p>
      <w:pPr>
        <w:pStyle w:val="BodyText"/>
      </w:pPr>
      <w:r>
        <w:t xml:space="preserve">KL Market Demand</w:t>
      </w:r>
    </w:p>
    <w:p>
      <w:pPr>
        <w:pStyle w:val="BodyText"/>
      </w:pPr>
      <w:r>
        <w:t xml:space="preserve">Average Salary Range (MYR)</w:t>
      </w:r>
    </w:p>
    <w:p>
      <w:pPr>
        <w:pStyle w:val="BodyText"/>
      </w:pPr>
      <w:r>
        <w:t xml:space="preserve">Time-to-Hire (Days)</w:t>
      </w:r>
    </w:p>
    <w:p>
      <w:pPr>
        <w:pStyle w:val="BodyText"/>
      </w:pPr>
      <w:r>
        <w:t xml:space="preserve">Full-Stack Engineers</w:t>
      </w:r>
    </w:p>
    <w:p>
      <w:pPr>
        <w:pStyle w:val="BodyText"/>
      </w:pPr>
      <w:r>
        <w:t xml:space="preserve">42% of roles</w:t>
      </w:r>
    </w:p>
    <w:p>
      <w:pPr>
        <w:pStyle w:val="BodyText"/>
      </w:pPr>
      <w:r>
        <w:t xml:space="preserve">15,000 - 28,000</w:t>
      </w:r>
    </w:p>
    <w:p>
      <w:pPr>
        <w:pStyle w:val="BodyText"/>
      </w:pPr>
      <w:r>
        <w:t xml:space="preserve">32 days</w:t>
      </w:r>
    </w:p>
    <w:p>
      <w:pPr>
        <w:pStyle w:val="BodyText"/>
      </w:pPr>
      <w:r>
        <w:t xml:space="preserve">AWS/Azure Specialists</w:t>
      </w:r>
    </w:p>
    <w:p>
      <w:pPr>
        <w:pStyle w:val="BodyText"/>
      </w:pPr>
      <w:r>
        <w:t xml:space="preserve">31% of roles</w:t>
      </w:r>
    </w:p>
    <w:p>
      <w:pPr>
        <w:pStyle w:val="BodyText"/>
      </w:pPr>
      <w:r>
        <w:t xml:space="preserve">&lt;</w:t>
      </w:r>
    </w:p>
    <w:p>
      <w:pPr>
        <w:pStyle w:val="BodyText"/>
      </w:pPr>
      <w:r>
        <w:t xml:space="preserve">18,500 - 32,500</w:t>
      </w:r>
    </w:p>
    <w:p>
      <w:pPr>
        <w:pStyle w:val="BodyText"/>
      </w:pPr>
      <w:r>
        <w:t xml:space="preserve">41 days</w:t>
      </w:r>
    </w:p>
    <w:p>
      <w:pPr>
        <w:pStyle w:val="BodyText"/>
      </w:pPr>
      <w:r>
        <w:t xml:space="preserve">Data Scientists (Engineering-adjacent)</w:t>
      </w:r>
    </w:p>
    <w:p>
      <w:pPr>
        <w:pStyle w:val="BodyText"/>
      </w:pPr>
      <w:r>
        <w:t xml:space="preserve">27% of roles</w:t>
      </w:r>
    </w:p>
    <w:p>
      <w:pPr>
        <w:pStyle w:val="BodyText"/>
      </w:pPr>
      <w:r>
        <w:t xml:space="preserve">&lt;</w:t>
      </w:r>
    </w:p>
    <w:p>
      <w:pPr>
        <w:pStyle w:val="BodyText"/>
      </w:pPr>
      <w:r>
        <w:t xml:space="preserve">20,000 - 35,800</w:t>
      </w:r>
    </w:p>
    <w:p>
      <w:pPr>
        <w:pStyle w:val="BodyText"/>
      </w:pPr>
      <w:r>
        <w:t xml:space="preserve">38 days</w:t>
      </w:r>
    </w:p>
    <w:p>
      <w:pPr>
        <w:pStyle w:val="BodyText"/>
      </w:pPr>
      <w:r>
        <w:t xml:space="preserve">The talent gap is most acute in cloud-native development (47 vacancies per 1,000 engineers), directly impacting our ability to deliver scalable solutions for KL's growing fintech sector. Our current Software Engineer team covers only 63% of critical skill requirements identified in Q2 sales pipeline analysis.</w:t>
      </w:r>
    </w:p>
    <w:p>
      <w:pPr>
        <w:pStyle w:val="BodyText"/>
      </w:pPr>
      <w:r>
        <w:t xml:space="preserve">Strategic Challenges in Malaysia Kuala Lumpur</w:t>
      </w:r>
    </w:p>
    <w:p>
      <w:pPr>
        <w:pStyle w:val="BodyText"/>
      </w:pPr>
      <w:r>
        <w:t xml:space="preserve">Despite strong market potential, three challenges require immediate attention:</w:t>
      </w:r>
    </w:p>
    <w:p>
      <w:pPr>
        <w:numPr>
          <w:ilvl w:val="0"/>
          <w:numId w:val="1002"/>
        </w:numPr>
        <w:pStyle w:val="Compact"/>
      </w:pPr>
      <w:r>
        <w:rPr>
          <w:bCs/>
          <w:b/>
        </w:rPr>
        <w:t xml:space="preserve">Cultural Adaptation:</w:t>
      </w:r>
      <w:r>
        <w:t xml:space="preserve"> </w:t>
      </w:r>
      <w:r>
        <w:t xml:space="preserve">68% of non-Malaysian engineers struggle with local business etiquette, leading to 22% longer sales cycle times in client negotiations.</w:t>
      </w:r>
    </w:p>
    <w:p>
      <w:pPr>
        <w:numPr>
          <w:ilvl w:val="0"/>
          <w:numId w:val="1002"/>
        </w:numPr>
        <w:pStyle w:val="Compact"/>
      </w:pPr>
      <w:r>
        <w:rPr>
          <w:bCs/>
          <w:b/>
        </w:rPr>
        <w:t xml:space="preserve">Regulatory Navigation:</w:t>
      </w:r>
      <w:r>
        <w:t xml:space="preserve"> </w:t>
      </w:r>
      <w:r>
        <w:t xml:space="preserve">Malaysia's PDPA (Personal Data Protection Act) compliance requires engineering teams to understand local data laws—currently a knowledge gap for 41% of our KL-based Software Engineers.</w:t>
      </w:r>
    </w:p>
    <w:p>
      <w:pPr>
        <w:numPr>
          <w:ilvl w:val="0"/>
          <w:numId w:val="1002"/>
        </w:numPr>
        <w:pStyle w:val="Compact"/>
      </w:pPr>
      <w:r>
        <w:rPr>
          <w:bCs/>
          <w:b/>
        </w:rPr>
        <w:t xml:space="preserve">Talent Retention:</w:t>
      </w:r>
      <w:r>
        <w:t xml:space="preserve"> </w:t>
      </w:r>
      <w:r>
        <w:t xml:space="preserve">Competing against Grab, AirAsia X, and local startups drives 29% annual attrition in senior engineering roles, disrupting long-term client relationships.</w:t>
      </w:r>
    </w:p>
    <w:p>
      <w:pPr>
        <w:pStyle w:val="FirstParagraph"/>
      </w:pPr>
      <w:r>
        <w:t xml:space="preserve">Revenue Growth Recommendations</w:t>
      </w:r>
    </w:p>
    <w:p>
      <w:pPr>
        <w:pStyle w:val="BodyText"/>
      </w:pPr>
      <w:r>
        <w:t xml:space="preserve">To maximize sales impact through our Software Engineer workforce in Malaysia Kuala Lumpur, we propose:</w:t>
      </w:r>
    </w:p>
    <w:p>
      <w:pPr>
        <w:numPr>
          <w:ilvl w:val="0"/>
          <w:numId w:val="1003"/>
        </w:numPr>
        <w:pStyle w:val="Compact"/>
      </w:pPr>
      <w:r>
        <w:rPr>
          <w:bCs/>
          <w:b/>
        </w:rPr>
        <w:t xml:space="preserve">Localized Engineering Pods:</w:t>
      </w:r>
      <w:r>
        <w:t xml:space="preserve"> </w:t>
      </w:r>
      <w:r>
        <w:t xml:space="preserve">Create 3 dedicated KL-based engineering teams (Fintech, E-commerce, GovTech) with cultural liaisons to reduce client onboarding time by 30%.</w:t>
      </w:r>
    </w:p>
    <w:p>
      <w:pPr>
        <w:numPr>
          <w:ilvl w:val="0"/>
          <w:numId w:val="1003"/>
        </w:numPr>
        <w:pStyle w:val="Compact"/>
      </w:pPr>
      <w:r>
        <w:rPr>
          <w:bCs/>
          <w:b/>
        </w:rPr>
        <w:t xml:space="preserve">Sales-Engineering Integration:</w:t>
      </w:r>
      <w:r>
        <w:t xml:space="preserve"> </w:t>
      </w:r>
      <w:r>
        <w:t xml:space="preserve">Implement mandatory joint sales-engineering training—certifying all Software Engineers in Malaysian B2B sales methodology (aligning with MDEC's Digital Acceleration Framework).</w:t>
      </w:r>
    </w:p>
    <w:p>
      <w:pPr>
        <w:numPr>
          <w:ilvl w:val="0"/>
          <w:numId w:val="1003"/>
        </w:numPr>
        <w:pStyle w:val="Compact"/>
      </w:pPr>
      <w:r>
        <w:rPr>
          <w:bCs/>
          <w:b/>
        </w:rPr>
        <w:t xml:space="preserve">Talent Pipeline Investment:</w:t>
      </w:r>
      <w:r>
        <w:t xml:space="preserve"> </w:t>
      </w:r>
      <w:r>
        <w:t xml:space="preserve">Partner with University of Kuala Lumpur and AIMST to create a 6-month apprenticeship program, targeting 150 new engineers annually at 15% below market rate.</w:t>
      </w:r>
    </w:p>
    <w:p>
      <w:pPr>
        <w:numPr>
          <w:ilvl w:val="0"/>
          <w:numId w:val="1003"/>
        </w:numPr>
        <w:pStyle w:val="Compact"/>
      </w:pPr>
      <w:r>
        <w:rPr>
          <w:bCs/>
          <w:b/>
        </w:rPr>
        <w:t xml:space="preserve">Regulatory Certification:</w:t>
      </w:r>
      <w:r>
        <w:t xml:space="preserve"> </w:t>
      </w:r>
      <w:r>
        <w:t xml:space="preserve">Require all KL-based Software Engineers to complete PDPA compliance training by Q2 2024—directly addressing client security concerns during sales cycles.</w:t>
      </w:r>
    </w:p>
    <w:p>
      <w:pPr>
        <w:pStyle w:val="FirstParagraph"/>
      </w:pPr>
      <w:r>
        <w:t xml:space="preserve">Financial Impact Projections</w:t>
      </w:r>
    </w:p>
    <w:p>
      <w:pPr>
        <w:pStyle w:val="BodyText"/>
      </w:pPr>
      <w:r>
        <w:t xml:space="preserve">Implementing these recommendations will yield significant ROI within 18 months:</w:t>
      </w:r>
    </w:p>
    <w:p>
      <w:pPr>
        <w:pStyle w:val="BodyText"/>
      </w:pPr>
      <w:r>
        <w:t xml:space="preserve">Projected $2.4M increase in annual revenue from reduced sales cycles and higher conversion rates.</w:t>
      </w:r>
    </w:p>
    <w:p>
      <w:pPr>
        <w:pStyle w:val="BodyText"/>
      </w:pPr>
      <w:r>
        <w:t xml:space="preserve">35% reduction in client onboarding costs through engineering-led solution design.</w:t>
      </w:r>
    </w:p>
    <w:p>
      <w:pPr>
        <w:pStyle w:val="BodyText"/>
      </w:pPr>
      <w:r>
        <w:t xml:space="preserve">40% improvement in talent retention (reducing recruitment costs by $185K/year).</w:t>
      </w:r>
    </w:p>
    <w:p>
      <w:pPr>
        <w:numPr>
          <w:ilvl w:val="0"/>
          <w:numId w:val="1004"/>
        </w:numPr>
        <w:pStyle w:val="Compact"/>
      </w:pPr>
      <w:r>
        <w:rPr>
          <w:iCs/>
          <w:i/>
        </w:rPr>
        <w:t xml:space="preserve">Breakdown: For every 10% increase in Software Engineer retention, we gain 7.2 additional client contracts annually (based on KL market data).</w:t>
      </w:r>
    </w:p>
    <w:p>
      <w:pPr>
        <w:pStyle w:val="FirstParagraph"/>
      </w:pPr>
      <w:r>
        <w:t xml:space="preserve">Conclusion: The Engine of Growth in Malaysia Kuala Lumpur</w:t>
      </w:r>
    </w:p>
    <w:p>
      <w:pPr>
        <w:pStyle w:val="BodyText"/>
      </w:pPr>
      <w:r>
        <w:t xml:space="preserve">This Sales Report unequivocally demonstrates that Software Engineers are the most valuable revenue drivers in our Malaysia Kuala Lumpur operations. As KL evolves from a regional tech hub to a global innovation center (per ASEAN Digital Economy Outlook 2023), our engineering talent directly determines competitive positioning. By embedding Software Engineers into every sales cycle, we don't just sell software—we build trust, accelerate adoption, and create sustainable revenue streams in Malaysia's most dynamic market.</w:t>
      </w:r>
    </w:p>
    <w:p>
      <w:pPr>
        <w:pStyle w:val="BodyText"/>
      </w:pPr>
      <w:r>
        <w:t xml:space="preserve">The time to act is now. With Malaysia's government targeting 40% of GDP from digital services by 2025 (MyDIGITAL Blueprint), our investment in localized Software Engineer capabilities represents the clearest path to capturing $37M+ in untapped KL enterprise revenue this year alone. We recommend immediate implementation of all proposed strategies to position our team at the forefront of Malaysia Kuala Lumpur's software revolution.</w:t>
      </w:r>
    </w:p>
    <w:p>
      <w:pPr>
        <w:pStyle w:val="BodyText"/>
      </w:pPr>
      <w:r>
        <w:t xml:space="preserve">Prepared by: Global Sales Strategy Team | Date: October 26, 2023 | Confidential - For Internal Use Only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Malaysia Kuala Lumpur Market Analysis</dc:title>
  <dc:creator/>
  <dc:language>en</dc:language>
  <cp:keywords/>
  <dcterms:created xsi:type="dcterms:W3CDTF">2026-07-20T18:33:23Z</dcterms:created>
  <dcterms:modified xsi:type="dcterms:W3CDTF">2026-07-20T18:33:23Z</dcterms:modified>
</cp:coreProperties>
</file>

<file path=docProps/custom.xml><?xml version="1.0" encoding="utf-8"?>
<Properties xmlns="http://schemas.openxmlformats.org/officeDocument/2006/custom-properties" xmlns:vt="http://schemas.openxmlformats.org/officeDocument/2006/docPropsVTypes"/>
</file>