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8" w:name="X715ed87aa52230c4c0cb19be0278047067d0f1e"/>
    <w:p>
      <w:pPr>
        <w:pStyle w:val="Heading1"/>
      </w:pPr>
      <w:r>
        <w:t xml:space="preserve">Sales Report: Software Engineer Performance &amp; Market Analysis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&amp; Talent Strategy Department, Philippines Manila Office</w:t>
      </w:r>
    </w:p>
    <w:bookmarkStart w:id="20" w:name="i.-executive-summary"/>
    <w:p>
      <w:pPr>
        <w:pStyle w:val="Heading2"/>
      </w:pPr>
      <w:r>
        <w:t xml:space="preserve">I. Executive Summary</w:t>
      </w:r>
    </w:p>
    <w:p>
      <w:pPr>
        <w:pStyle w:val="FirstParagraph"/>
      </w:pPr>
      <w:r>
        <w:t xml:space="preserve">This comprehensive Sales Report details the recruitment, performance metrics, and market positioning of our Software Engineer team within the Philippines Manila operations center. As a strategic hub for APAC software development, our Manila engineering division has directly contributed to a 37% year-over-year increase in sales revenue through enhanced product delivery velocity and client satisfaction. This document establishes how our Software Engineer workforce serves as the critical engine driving sales success in the dynamic Philippine market, with specific focus on Manila's role as our innovation epicenter.</w:t>
      </w:r>
    </w:p>
    <w:bookmarkEnd w:id="20"/>
    <w:bookmarkStart w:id="21" w:name="ii.-recruitment-sales-pipeline-impact"/>
    <w:p>
      <w:pPr>
        <w:pStyle w:val="Heading2"/>
      </w:pPr>
      <w:r>
        <w:t xml:space="preserve">II. Recruitment &amp; Sales Pipeline Impact</w:t>
      </w:r>
    </w:p>
    <w:p>
      <w:pPr>
        <w:pStyle w:val="FirstParagraph"/>
      </w:pPr>
      <w:r>
        <w:t xml:space="preserve">The Philippines Manila office has become our primary talent acquisition hub for global software engineering roles, directly impacting sales pipeline velocity. In Q3 2023 alone, we successfully hired 48 new Software Engineers through targeted campus recruitment at top universities including De La Salle University and Ateneo de Manila. This aggressive hiring strategy reduced average time-to-fill engineering positions from 75 to 42 days – a critical factor in meeting client project deadlines that directly influence sales conversion rates.</w:t>
      </w:r>
    </w:p>
    <w:p>
      <w:pPr>
        <w:pStyle w:val="BodyText"/>
      </w:pPr>
      <w:r>
        <w:t xml:space="preserve">Our Manila-based Software Engineers have been instrumental in closing three major enterprise contracts (totaling $8.2M ARR) this quarter, including the Philippine National Bank digital transformation project and a multinational retail chain's e-commerce platform upgrade. These deals were sealed partly due to our ability to demonstrate rapid development cycles – a direct result of our Manila engineering team's capacity to deliver 40% faster feature deployments than regional competitors.</w:t>
      </w:r>
    </w:p>
    <w:bookmarkEnd w:id="21"/>
    <w:bookmarkStart w:id="22" w:name="X3ee82640a7d80f3759bbedb0acdea0002c54932"/>
    <w:p>
      <w:pPr>
        <w:pStyle w:val="Heading2"/>
      </w:pPr>
      <w:r>
        <w:t xml:space="preserve">III. Performance Metrics Driving Sales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(Manila)</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New Client Acquisition Rate</w:t>
            </w:r>
          </w:p>
        </w:tc>
        <w:tc>
          <w:tcPr/>
          <w:p>
            <w:pPr>
              <w:pStyle w:val="Compact"/>
              <w:jc w:val="left"/>
            </w:pPr>
            <w:r>
              <w:t xml:space="preserve">18.7%</w:t>
            </w:r>
          </w:p>
        </w:tc>
        <w:tc>
          <w:tcPr/>
          <w:p>
            <w:pPr>
              <w:pStyle w:val="Compact"/>
              <w:jc w:val="left"/>
            </w:pPr>
            <w:r>
              <w:t xml:space="preserve">+9.2%</w:t>
            </w:r>
          </w:p>
        </w:tc>
        <w:tc>
          <w:tcPr/>
          <w:p>
            <w:pPr>
              <w:pStyle w:val="Compact"/>
              <w:jc w:val="left"/>
            </w:pPr>
            <w:r>
              <w:t xml:space="preserve">Directly linked to engineering solution agility</w:t>
            </w:r>
          </w:p>
        </w:tc>
      </w:tr>
      <w:tr>
        <w:tc>
          <w:tcPr/>
          <w:p>
            <w:pPr>
              <w:pStyle w:val="Compact"/>
              <w:jc w:val="left"/>
            </w:pPr>
            <w:r>
              <w:t xml:space="preserve">Client Retention Rate (Engineering)</w:t>
            </w:r>
          </w:p>
        </w:tc>
        <w:tc>
          <w:tcPr/>
          <w:p>
            <w:pPr>
              <w:pStyle w:val="Compact"/>
              <w:jc w:val="left"/>
            </w:pPr>
            <w:r>
              <w:t xml:space="preserve">94.3%</w:t>
            </w:r>
          </w:p>
        </w:tc>
        <w:tc>
          <w:tcPr/>
          <w:p>
            <w:pPr>
              <w:pStyle w:val="Compact"/>
              <w:jc w:val="left"/>
            </w:pPr>
            <w:r>
              <w:t xml:space="preserve">+5.6%</w:t>
            </w:r>
          </w:p>
        </w:tc>
        <w:tc>
          <w:tcPr/>
          <w:p>
            <w:pPr>
              <w:pStyle w:val="Compact"/>
              <w:jc w:val="left"/>
            </w:pPr>
            <w:r>
              <w:t xml:space="preserve">Critical for upsell opportunities</w:t>
            </w:r>
          </w:p>
        </w:tc>
      </w:tr>
      <w:tr>
        <w:tc>
          <w:tcPr/>
          <w:p>
            <w:pPr>
              <w:pStyle w:val="Compact"/>
              <w:jc w:val="left"/>
            </w:pPr>
            <w:r>
              <w:t xml:space="preserve">Feature Delivery Cycle Time</w:t>
            </w:r>
          </w:p>
        </w:tc>
        <w:tc>
          <w:tcPr/>
          <w:p>
            <w:pPr>
              <w:pStyle w:val="Compact"/>
              <w:jc w:val="left"/>
            </w:pPr>
            <w:r>
              <w:t xml:space="preserve">12 days (avg.)</w:t>
            </w:r>
          </w:p>
        </w:tc>
        <w:tc>
          <w:tcPr/>
          <w:p>
            <w:pPr>
              <w:pStyle w:val="Compact"/>
              <w:jc w:val="left"/>
            </w:pPr>
            <w:r>
              <w:t xml:space="preserve">-28% faster</w:t>
            </w:r>
          </w:p>
        </w:tc>
        <w:tc>
          <w:tcPr/>
          <w:p>
            <w:pPr>
              <w:pStyle w:val="Compact"/>
              <w:jc w:val="left"/>
            </w:pPr>
            <w:r>
              <w:t xml:space="preserve">Enabled 7 client upsells in Q3</w:t>
            </w:r>
          </w:p>
        </w:tc>
      </w:tr>
      <w:tr>
        <w:tc>
          <w:tcPr/>
          <w:p>
            <w:pPr>
              <w:pStyle w:val="Compact"/>
              <w:jc w:val="left"/>
            </w:pPr>
            <w:r>
              <w:t xml:space="preserve">Talent Cost Efficiency Ratio</w:t>
            </w:r>
          </w:p>
        </w:tc>
        <w:tc>
          <w:tcPr/>
          <w:p>
            <w:pPr>
              <w:pStyle w:val="Compact"/>
              <w:jc w:val="left"/>
            </w:pPr>
            <w:r>
              <w:t xml:space="preserve">$0.45/Revenue Unit</w:t>
            </w:r>
          </w:p>
        </w:tc>
        <w:tc>
          <w:tcPr/>
          <w:p>
            <w:pPr>
              <w:pStyle w:val="Compact"/>
              <w:jc w:val="left"/>
            </w:pPr>
            <w:r>
              <w:t xml:space="preserve">-12% cost per unit</w:t>
            </w:r>
          </w:p>
        </w:tc>
        <w:tc>
          <w:tcPr/>
          <w:p>
            <w:pPr>
              <w:pStyle w:val="Compact"/>
              <w:jc w:val="left"/>
            </w:pPr>
            <w:r>
              <w:t xml:space="preserve">Increased profit margin on sales contracts</w:t>
            </w:r>
          </w:p>
        </w:tc>
      </w:tr>
    </w:tbl>
    <w:p>
      <w:pPr>
        <w:pStyle w:val="BodyText"/>
      </w:pPr>
      <w:r>
        <w:t xml:space="preserve">The exceptional performance of our Philippines Manila Software Engineer team has created a powerful sales feedback loop: faster development → shorter client onboarding → increased renewal rates → higher sales conversion. This is particularly evident in the local government sector, where 12 of our 15 successful contracts this year originated from Manila-based engineering demonstrations.</w:t>
      </w:r>
    </w:p>
    <w:bookmarkEnd w:id="22"/>
    <w:bookmarkStart w:id="23" w:name="Xfe859c3c408ec6014ca76663669a03f9b61b2fd"/>
    <w:p>
      <w:pPr>
        <w:pStyle w:val="Heading2"/>
      </w:pPr>
      <w:r>
        <w:t xml:space="preserve">IV. Market-Specific Advantages in Philippines Manila</w:t>
      </w:r>
    </w:p>
    <w:p>
      <w:pPr>
        <w:pStyle w:val="FirstParagraph"/>
      </w:pPr>
      <w:r>
        <w:t xml:space="preserve">Our Manila operations leverage three unique market advantages that directly boost sales outcomes:</w:t>
      </w:r>
    </w:p>
    <w:p>
      <w:pPr>
        <w:numPr>
          <w:ilvl w:val="0"/>
          <w:numId w:val="1001"/>
        </w:numPr>
        <w:pStyle w:val="Compact"/>
      </w:pPr>
      <w:r>
        <w:rPr>
          <w:bCs/>
          <w:b/>
        </w:rPr>
        <w:t xml:space="preserve">Talent Density:</w:t>
      </w:r>
      <w:r>
        <w:t xml:space="preserve"> </w:t>
      </w:r>
      <w:r>
        <w:t xml:space="preserve">With over 18,000 software engineering graduates entering the Manila job market annually, we maintain a 4:1 talent-to-vacancy ratio – allowing us to rapidly scale our Software Engineer teams to meet expanding sales demands.</w:t>
      </w:r>
    </w:p>
    <w:p>
      <w:pPr>
        <w:numPr>
          <w:ilvl w:val="0"/>
          <w:numId w:val="1001"/>
        </w:numPr>
        <w:pStyle w:val="Compact"/>
      </w:pPr>
      <w:r>
        <w:rPr>
          <w:bCs/>
          <w:b/>
        </w:rPr>
        <w:t xml:space="preserve">Cultural Alignment:</w:t>
      </w:r>
      <w:r>
        <w:t xml:space="preserve"> </w:t>
      </w:r>
      <w:r>
        <w:t xml:space="preserve">The Manila team's bilingual capability (English + Filipino) enables seamless communication with both international clients and local Philippine government agencies, eliminating language barriers that typically delay sales cycles by 15-20 days.</w:t>
      </w:r>
    </w:p>
    <w:p>
      <w:pPr>
        <w:numPr>
          <w:ilvl w:val="0"/>
          <w:numId w:val="1001"/>
        </w:numPr>
        <w:pStyle w:val="Compact"/>
      </w:pPr>
      <w:r>
        <w:rPr>
          <w:bCs/>
          <w:b/>
        </w:rPr>
        <w:t xml:space="preserve">Cost Efficiency:</w:t>
      </w:r>
      <w:r>
        <w:t xml:space="preserve"> </w:t>
      </w:r>
      <w:r>
        <w:t xml:space="preserve">Maintaining engineering teams in Manila delivers 35% lower operational costs than US/EU equivalents while maintaining premium quality standards – a key selling point for cost-conscious enterprise clients globally.</w:t>
      </w:r>
    </w:p>
    <w:bookmarkEnd w:id="23"/>
    <w:bookmarkStart w:id="24" w:name="v.-challenges-strategic-responses"/>
    <w:p>
      <w:pPr>
        <w:pStyle w:val="Heading2"/>
      </w:pPr>
      <w:r>
        <w:t xml:space="preserve">V. Challenges &amp; Strategic Responses</w:t>
      </w:r>
    </w:p>
    <w:p>
      <w:pPr>
        <w:pStyle w:val="FirstParagraph"/>
      </w:pPr>
      <w:r>
        <w:t xml:space="preserve">While the Philippines Manila market presents immense opportunities, we face strategic challenges requiring continuous adaptation in our Sales Report strategy:</w:t>
      </w:r>
    </w:p>
    <w:p>
      <w:pPr>
        <w:numPr>
          <w:ilvl w:val="0"/>
          <w:numId w:val="1002"/>
        </w:numPr>
        <w:pStyle w:val="Compact"/>
      </w:pPr>
      <w:r>
        <w:rPr>
          <w:bCs/>
          <w:b/>
        </w:rPr>
        <w:t xml:space="preserve">Talent Retention Pressure:</w:t>
      </w:r>
      <w:r>
        <w:t xml:space="preserve"> </w:t>
      </w:r>
      <w:r>
        <w:t xml:space="preserve">Addressed through our "Engineering Growth Pathway" program offering quarterly certification sprints (AWS/Azure/Google Cloud) and clear sales-oriented career ladders. This reduced engineering turnover from 18% to 7% YoY, directly protecting sales pipeline stability.</w:t>
      </w:r>
    </w:p>
    <w:p>
      <w:pPr>
        <w:numPr>
          <w:ilvl w:val="0"/>
          <w:numId w:val="1002"/>
        </w:numPr>
        <w:pStyle w:val="Compact"/>
      </w:pPr>
      <w:r>
        <w:rPr>
          <w:bCs/>
          <w:b/>
        </w:rPr>
        <w:t xml:space="preserve">Competitive Talent Sourcing:</w:t>
      </w:r>
      <w:r>
        <w:t xml:space="preserve"> </w:t>
      </w:r>
      <w:r>
        <w:t xml:space="preserve">Partnered with the Manila Chamber of Commerce to launch "Digital Talent Accelerator" – a free upskilling program attracting top graduates. This initiative now supplies 30% of our new Software Engineers and enhances our market reputation as a talent developer.</w:t>
      </w:r>
    </w:p>
    <w:p>
      <w:pPr>
        <w:numPr>
          <w:ilvl w:val="0"/>
          <w:numId w:val="1002"/>
        </w:numPr>
        <w:pStyle w:val="Compact"/>
      </w:pPr>
      <w:r>
        <w:rPr>
          <w:bCs/>
          <w:b/>
        </w:rPr>
        <w:t xml:space="preserve">Client Expectation Management:</w:t>
      </w:r>
      <w:r>
        <w:t xml:space="preserve"> </w:t>
      </w:r>
      <w:r>
        <w:t xml:space="preserve">Implemented monthly "Sales-Engineering Sync" sessions where Manila engineers directly co-present with sales teams to clients, improving solution confidence by 42% (per recent NPS data).</w:t>
      </w:r>
    </w:p>
    <w:bookmarkEnd w:id="24"/>
    <w:bookmarkStart w:id="25" w:name="X0f7402c0ef5267b4c86a965987c784b592017de"/>
    <w:p>
      <w:pPr>
        <w:pStyle w:val="Heading2"/>
      </w:pPr>
      <w:r>
        <w:t xml:space="preserve">VI. Success Story: Government Digital Transformation Project</w:t>
      </w:r>
    </w:p>
    <w:p>
      <w:pPr>
        <w:pStyle w:val="FirstParagraph"/>
      </w:pPr>
      <w:r>
        <w:t xml:space="preserve">The Philippine Department of Social Welfare's "Kapitolyo" platform – developed entirely by our Manila Software Engineer team – serves as a flagship sales case study. This $1.8M contract was secured through:</w:t>
      </w:r>
    </w:p>
    <w:p>
      <w:pPr>
        <w:numPr>
          <w:ilvl w:val="0"/>
          <w:numId w:val="1003"/>
        </w:numPr>
        <w:pStyle w:val="Compact"/>
      </w:pPr>
      <w:r>
        <w:t xml:space="preserve">Engineers delivering a 50% faster MVP than competing vendors</w:t>
      </w:r>
    </w:p>
    <w:p>
      <w:pPr>
        <w:numPr>
          <w:ilvl w:val="0"/>
          <w:numId w:val="1003"/>
        </w:numPr>
        <w:pStyle w:val="Compact"/>
      </w:pPr>
      <w:r>
        <w:t xml:space="preserve">Manila-based team providing daily Filipino-language client support during implementation</w:t>
      </w:r>
    </w:p>
    <w:p>
      <w:pPr>
        <w:numPr>
          <w:ilvl w:val="0"/>
          <w:numId w:val="1003"/>
        </w:numPr>
        <w:pStyle w:val="Compact"/>
      </w:pPr>
      <w:r>
        <w:t xml:space="preserve">Engineering solutions directly addressing Philippine bureaucratic pain points (e.g., multi-lingual interface, offline capabilities)</w:t>
      </w:r>
    </w:p>
    <w:p>
      <w:pPr>
        <w:pStyle w:val="FirstParagraph"/>
      </w:pPr>
      <w:r>
        <w:t xml:space="preserve">The project's success led to a 30% expansion of the contract in Q2 and is now being showcased as our primary sales case study for government sector sales in APAC. This exemplifies how Manila's Software Engineers aren't just developers – they're strategic sales enablers.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robust performance data from our Philippines Manila operations, we recommend the following strategic priorities to sustain sales momentum:</w:t>
      </w:r>
    </w:p>
    <w:p>
      <w:pPr>
        <w:numPr>
          <w:ilvl w:val="0"/>
          <w:numId w:val="1004"/>
        </w:numPr>
        <w:pStyle w:val="Compact"/>
      </w:pPr>
      <w:r>
        <w:rPr>
          <w:bCs/>
          <w:b/>
        </w:rPr>
        <w:t xml:space="preserve">Scale Manila's Engineering Sales Integration:</w:t>
      </w:r>
      <w:r>
        <w:t xml:space="preserve"> </w:t>
      </w:r>
      <w:r>
        <w:t xml:space="preserve">Create dedicated "Sales-Engineering Liaisons" within each client account team to embed engineers into the sales process from initial discovery meetings.</w:t>
      </w:r>
    </w:p>
    <w:p>
      <w:pPr>
        <w:numPr>
          <w:ilvl w:val="0"/>
          <w:numId w:val="1004"/>
        </w:numPr>
        <w:pStyle w:val="Compact"/>
      </w:pPr>
      <w:r>
        <w:rPr>
          <w:bCs/>
          <w:b/>
        </w:rPr>
        <w:t xml:space="preserve">Expand Localized Product Portfolio:</w:t>
      </w:r>
      <w:r>
        <w:t xml:space="preserve"> </w:t>
      </w:r>
      <w:r>
        <w:t xml:space="preserve">Leverage Manila engineers to develop Philippines-specific features (e.g., QR code payment integration, multi-dialect support) that drive premium pricing in local sales contracts.</w:t>
      </w:r>
    </w:p>
    <w:p>
      <w:pPr>
        <w:numPr>
          <w:ilvl w:val="0"/>
          <w:numId w:val="1004"/>
        </w:numPr>
        <w:pStyle w:val="Compact"/>
      </w:pPr>
      <w:r>
        <w:rPr>
          <w:bCs/>
          <w:b/>
        </w:rPr>
        <w:t xml:space="preserve">Build Manila as APAC Sales Hub:</w:t>
      </w:r>
      <w:r>
        <w:t xml:space="preserve"> </w:t>
      </w:r>
      <w:r>
        <w:t xml:space="preserve">Position our Manila office as the regional center for client demos and solution engineering – expected to reduce global sales cycle time by 25% by Q1 2024.</w:t>
      </w:r>
    </w:p>
    <w:bookmarkEnd w:id="26"/>
    <w:bookmarkStart w:id="27" w:name="viii.-conclusion"/>
    <w:p>
      <w:pPr>
        <w:pStyle w:val="Heading2"/>
      </w:pPr>
      <w:r>
        <w:t xml:space="preserve">VIII. Conclusion</w:t>
      </w:r>
    </w:p>
    <w:p>
      <w:pPr>
        <w:pStyle w:val="FirstParagraph"/>
      </w:pPr>
      <w:r>
        <w:t xml:space="preserve">This Sales Report conclusively demonstrates that our Software Engineer team in Philippines Manila is no longer merely a delivery function but the strategic cornerstone of our global sales engine. The synergy between engineering excellence and market-specific execution in Manila has generated measurable revenue growth, client retention improvements, and competitive differentiation that directly impacts our bottom line. As we continue to invest in talent development within this vibrant ecosystem, the Philippines Manila office will remain central to our ambitious 2024-2025 sales targets. We recommend maintaining aggressive recruitment while deepening the integration between engineering capabilities and sales strategy – ensuring every new Software Engineer hired becomes a direct revenue driver for our global business.</w:t>
      </w:r>
    </w:p>
    <w:p>
      <w:pPr>
        <w:pStyle w:val="BodyText"/>
      </w:pPr>
      <w:r>
        <w:rPr>
          <w:bCs/>
          <w:b/>
        </w:rPr>
        <w:t xml:space="preserve">Prepared By:</w:t>
      </w:r>
      <w:r>
        <w:t xml:space="preserve"> </w:t>
      </w:r>
      <w:r>
        <w:t xml:space="preserve">Maria Santos, Regional Talent &amp; Sales Strategy Director</w:t>
      </w:r>
      <w:r>
        <w:br/>
      </w:r>
      <w:r>
        <w:rPr>
          <w:bCs/>
          <w:b/>
        </w:rPr>
        <w:t xml:space="preserve">Philippines Manila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Philippines Manila Operations</dc:title>
  <dc:creator/>
  <dc:language>en</dc:language>
  <cp:keywords/>
  <dcterms:created xsi:type="dcterms:W3CDTF">2026-04-29T00:16:41Z</dcterms:created>
  <dcterms:modified xsi:type="dcterms:W3CDTF">2026-04-29T00:16:41Z</dcterms:modified>
</cp:coreProperties>
</file>

<file path=docProps/custom.xml><?xml version="1.0" encoding="utf-8"?>
<Properties xmlns="http://schemas.openxmlformats.org/officeDocument/2006/custom-properties" xmlns:vt="http://schemas.openxmlformats.org/officeDocument/2006/docPropsVTypes"/>
</file>