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Russia</w:t>
      </w:r>
      <w:r>
        <w:t xml:space="preserve"> </w:t>
      </w:r>
      <w:r>
        <w:t xml:space="preserve">Moscow</w:t>
      </w:r>
    </w:p>
    <w:bookmarkStart w:id="28" w:name="Xdae4ebd52767313348907d9acf5589341cf160f"/>
    <w:p>
      <w:pPr>
        <w:pStyle w:val="Heading1"/>
      </w:pPr>
      <w:r>
        <w:t xml:space="preserve">ANNUAL SALES REPORT: SOFTWARE ENGINEER RECRUITMENT PERFORMANCE IN RUSSIA MOSCOW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Tech Solutions Division</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details the recruitment performance and market positioning of our Software Engineer hiring initiatives across the Russia Moscow region. Despite challenging geopolitical conditions and fluctuating economic factors, our strategic focus on talent acquisition in Moscow has yielded exceptional results, with a 38% year-over-year increase in successful placements of Senior Software Engineers. This report confirms that targeted investment in the Russia Moscow market remains critical to our global technical delivery capabilities.</w:t>
      </w:r>
    </w:p>
    <w:bookmarkEnd w:id="20"/>
    <w:bookmarkStart w:id="21" w:name="X05ed094f1223d08bf7d81f3f37fe24af7437e5a"/>
    <w:p>
      <w:pPr>
        <w:pStyle w:val="Heading2"/>
      </w:pPr>
      <w:r>
        <w:t xml:space="preserve">II. MARKET CONTEXT: RUSSIA MOSCOW SOFTWARE ENGINEERING LANDSCAPE</w:t>
      </w:r>
    </w:p>
    <w:p>
      <w:pPr>
        <w:pStyle w:val="FirstParagraph"/>
      </w:pPr>
      <w:r>
        <w:t xml:space="preserve">The Russia Moscow technology sector has demonstrated remarkable resilience, with software development demand growing at 15.3% annually according to the Russian IT Association (2023). Moscow remains the undisputed hub for high-value software engineering talent, accounting for 68% of all tech job postings in Russia. Our analysis reveals that demand for mid-to-senior level Software Engineers specializing in cloud infrastructure and AI solutions has surged by 42% year-over-year within the Moscow metro area.</w:t>
      </w:r>
    </w:p>
    <w:p>
      <w:pPr>
        <w:pStyle w:val="BodyText"/>
      </w:pPr>
      <w:r>
        <w:t xml:space="preserve">Key market differentiators include:</w:t>
      </w:r>
    </w:p>
    <w:p>
      <w:pPr>
        <w:numPr>
          <w:ilvl w:val="0"/>
          <w:numId w:val="1001"/>
        </w:numPr>
        <w:pStyle w:val="Compact"/>
      </w:pPr>
      <w:r>
        <w:t xml:space="preserve">Moscow's concentration of top-tier universities (Moscow State University, MIPT) producing 12,000+ computer science graduates annually</w:t>
      </w:r>
    </w:p>
    <w:p>
      <w:pPr>
        <w:numPr>
          <w:ilvl w:val="0"/>
          <w:numId w:val="1001"/>
        </w:numPr>
        <w:pStyle w:val="Compact"/>
      </w:pPr>
      <w:r>
        <w:t xml:space="preserve">Competitive salary benchmarks: $75K-$145K for experienced Software Engineers in Moscow (vs. $65K-$120K nationally)</w:t>
      </w:r>
    </w:p>
    <w:p>
      <w:pPr>
        <w:numPr>
          <w:ilvl w:val="0"/>
          <w:numId w:val="1001"/>
        </w:numPr>
        <w:pStyle w:val="Compact"/>
      </w:pPr>
      <w:r>
        <w:t xml:space="preserve">Emergence of AI and fintech as primary growth sectors driving specialized engineering demand</w:t>
      </w:r>
    </w:p>
    <w:bookmarkEnd w:id="21"/>
    <w:bookmarkStart w:id="22" w:name="X0689f0d77eca132d4fc85d9e1df7523b612055f"/>
    <w:p>
      <w:pPr>
        <w:pStyle w:val="Heading2"/>
      </w:pPr>
      <w:r>
        <w:t xml:space="preserve">III. RECRUITMENT SALES PERFORMANCE: KEY METRICS</w:t>
      </w:r>
    </w:p>
    <w:p>
      <w:pPr>
        <w:pStyle w:val="FirstParagraph"/>
      </w:pPr>
      <w:r>
        <w:t xml:space="preserve">This section quantifies our Software Engineer placement success rate in Russia Moscow, measured against our annual recruitment targets: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2023 Target</w:t>
            </w:r>
          </w:p>
        </w:tc>
        <w:tc>
          <w:tcPr/>
          <w:p>
            <w:pPr>
              <w:pStyle w:val="Compact"/>
              <w:jc w:val="left"/>
            </w:pPr>
            <w:r>
              <w:t xml:space="preserve">2023 Actual</w:t>
            </w:r>
          </w:p>
        </w:tc>
        <w:tc>
          <w:tcPr/>
          <w:p>
            <w:pPr>
              <w:pStyle w:val="Compact"/>
              <w:jc w:val="left"/>
            </w:pPr>
            <w:r>
              <w:t xml:space="preserve">Variance</w:t>
            </w:r>
          </w:p>
        </w:tc>
      </w:tr>
      <w:tr>
        <w:tc>
          <w:tcPr/>
          <w:p>
            <w:pPr>
              <w:pStyle w:val="Compact"/>
              <w:jc w:val="left"/>
            </w:pPr>
            <w:r>
              <w:t xml:space="preserve">Software Engineer Placements (Moscow)</w:t>
            </w:r>
          </w:p>
        </w:tc>
        <w:tc>
          <w:tcPr/>
          <w:p>
            <w:pPr>
              <w:pStyle w:val="Compact"/>
              <w:jc w:val="left"/>
            </w:pPr>
            <w:r>
              <w:t xml:space="preserve">45 positions</w:t>
            </w:r>
          </w:p>
        </w:tc>
        <w:tc>
          <w:tcPr/>
          <w:p>
            <w:pPr>
              <w:pStyle w:val="Compact"/>
              <w:jc w:val="left"/>
            </w:pPr>
            <w:r>
              <w:t xml:space="preserve">62 positions</w:t>
            </w:r>
          </w:p>
        </w:tc>
        <w:tc>
          <w:tcPr/>
          <w:p>
            <w:pPr>
              <w:pStyle w:val="Compact"/>
              <w:jc w:val="left"/>
            </w:pPr>
            <w:r>
              <w:t xml:space="preserve">+37.8%</w:t>
            </w:r>
          </w:p>
        </w:tc>
      </w:tr>
      <w:tr>
        <w:tc>
          <w:tcPr/>
          <w:p>
            <w:pPr>
              <w:pStyle w:val="Compact"/>
              <w:jc w:val="left"/>
            </w:pPr>
            <w:r>
              <w:t xml:space="preserve">Average Time-to-Fill</w:t>
            </w:r>
          </w:p>
        </w:tc>
        <w:tc>
          <w:tcPr/>
          <w:p>
            <w:pPr>
              <w:pStyle w:val="Compact"/>
              <w:jc w:val="left"/>
            </w:pPr>
            <w:r>
              <w:t xml:space="preserve">45 days</w:t>
            </w:r>
          </w:p>
        </w:tc>
        <w:tc>
          <w:tcPr/>
          <w:p>
            <w:pPr>
              <w:pStyle w:val="Compact"/>
              <w:jc w:val="left"/>
            </w:pPr>
            <w:r>
              <w:t xml:space="preserve">32 days</w:t>
            </w:r>
          </w:p>
        </w:tc>
        <w:tc>
          <w:tcPr/>
          <w:p>
            <w:pPr>
              <w:pStyle w:val="Compact"/>
            </w:pPr>
          </w:p>
        </w:tc>
      </w:tr>
      <w:tr>
        <w:tc>
          <w:tcPr/>
          <w:p>
            <w:pPr>
              <w:pStyle w:val="Compact"/>
              <w:jc w:val="left"/>
            </w:pPr>
            <w:r>
              <w:t xml:space="preserve">10.6% under target (best-in-class performance)</w:t>
            </w:r>
          </w:p>
        </w:tc>
        <w:tc>
          <w:tcPr/>
          <w:p>
            <w:pPr>
              <w:pStyle w:val="Compact"/>
            </w:pPr>
          </w:p>
        </w:tc>
        <w:tc>
          <w:tcPr/>
          <w:p>
            <w:pPr>
              <w:pStyle w:val="Compact"/>
            </w:pPr>
          </w:p>
        </w:tc>
        <w:tc>
          <w:tcPr/>
          <w:p>
            <w:pPr>
              <w:pStyle w:val="Compact"/>
            </w:pPr>
          </w:p>
        </w:tc>
      </w:tr>
      <w:tr>
        <w:tc>
          <w:tcPr/>
          <w:p>
            <w:pPr>
              <w:pStyle w:val="Compact"/>
              <w:jc w:val="left"/>
            </w:pPr>
            <w:r>
              <w:t xml:space="preserve">Offer Acceptance Rate</w:t>
            </w:r>
          </w:p>
        </w:tc>
        <w:tc>
          <w:tcPr/>
          <w:p>
            <w:pPr>
              <w:pStyle w:val="Compact"/>
              <w:jc w:val="left"/>
            </w:pPr>
            <w:r>
              <w:t xml:space="preserve">85%</w:t>
            </w:r>
          </w:p>
        </w:tc>
        <w:tc>
          <w:tcPr/>
          <w:p>
            <w:pPr>
              <w:pStyle w:val="Compact"/>
              <w:jc w:val="left"/>
            </w:pPr>
            <w:r>
              <w:t xml:space="preserve">92%</w:t>
            </w:r>
          </w:p>
        </w:tc>
        <w:tc>
          <w:tcPr/>
          <w:p>
            <w:pPr>
              <w:pStyle w:val="Compact"/>
              <w:jc w:val="left"/>
            </w:pPr>
            <w:r>
              <w:t xml:space="preserve">+7 pts</w:t>
            </w:r>
          </w:p>
        </w:tc>
      </w:tr>
      <w:tr>
        <w:tc>
          <w:tcPr/>
          <w:p>
            <w:pPr>
              <w:pStyle w:val="Compact"/>
              <w:jc w:val="left"/>
            </w:pPr>
            <w:r>
              <w:t xml:space="preserve">Total Sales Value (Engineering Roles)</w:t>
            </w:r>
          </w:p>
        </w:tc>
        <w:tc>
          <w:tcPr/>
          <w:p>
            <w:pPr>
              <w:pStyle w:val="Compact"/>
            </w:pPr>
          </w:p>
        </w:tc>
        <w:tc>
          <w:tcPr/>
          <w:p>
            <w:pPr>
              <w:pStyle w:val="Compact"/>
            </w:pPr>
          </w:p>
        </w:tc>
        <w:tc>
          <w:tcPr/>
          <w:p>
            <w:pPr>
              <w:pStyle w:val="Compact"/>
            </w:pPr>
          </w:p>
        </w:tc>
      </w:tr>
      <w:tr>
        <w:tc>
          <w:tcPr/>
          <w:p>
            <w:pPr>
              <w:pStyle w:val="Compact"/>
              <w:jc w:val="left"/>
            </w:pPr>
            <w:r>
              <w:t xml:space="preserve">$9.3M (2023 revenue impact)</w:t>
            </w:r>
          </w:p>
        </w:tc>
        <w:tc>
          <w:tcPr/>
          <w:p>
            <w:pPr>
              <w:pStyle w:val="Compact"/>
            </w:pPr>
          </w:p>
        </w:tc>
        <w:tc>
          <w:tcPr/>
          <w:p>
            <w:pPr>
              <w:pStyle w:val="Compact"/>
            </w:pPr>
          </w:p>
        </w:tc>
        <w:tc>
          <w:tcPr/>
          <w:p>
            <w:pPr>
              <w:pStyle w:val="Compact"/>
            </w:pPr>
          </w:p>
        </w:tc>
      </w:tr>
    </w:tbl>
    <w:bookmarkEnd w:id="22"/>
    <w:bookmarkStart w:id="23" w:name="iv.-strategic-channel-effectiveness"/>
    <w:p>
      <w:pPr>
        <w:pStyle w:val="Heading2"/>
      </w:pPr>
      <w:r>
        <w:t xml:space="preserve">IV. STRATEGIC CHANNEL EFFECTIVENESS</w:t>
      </w:r>
    </w:p>
    <w:p>
      <w:pPr>
        <w:pStyle w:val="FirstParagraph"/>
      </w:pPr>
      <w:r>
        <w:t xml:space="preserve">Our Russia Moscow recruitment strategy deployed multiple high-impact channels, with clear ROI differentiation:</w:t>
      </w:r>
    </w:p>
    <w:p>
      <w:pPr>
        <w:numPr>
          <w:ilvl w:val="0"/>
          <w:numId w:val="1002"/>
        </w:numPr>
        <w:pStyle w:val="Compact"/>
      </w:pPr>
      <w:r>
        <w:rPr>
          <w:bCs/>
          <w:b/>
        </w:rPr>
        <w:t xml:space="preserve">University Partnerships (Moscow-based):</w:t>
      </w:r>
      <w:r>
        <w:t xml:space="preserve"> </w:t>
      </w:r>
      <w:r>
        <w:t xml:space="preserve">38% of placements sourced through direct partnerships with MIPT and Moscow State University. This channel delivered the highest quality candidates at 22% lower cost-per-hire versus market average.</w:t>
      </w:r>
    </w:p>
    <w:p>
      <w:pPr>
        <w:numPr>
          <w:ilvl w:val="0"/>
          <w:numId w:val="1002"/>
        </w:numPr>
        <w:pStyle w:val="Compact"/>
      </w:pPr>
      <w:r>
        <w:rPr>
          <w:bCs/>
          <w:b/>
        </w:rPr>
        <w:t xml:space="preserve">Tech Meetups &amp; Conferences:</w:t>
      </w:r>
      <w:r>
        <w:t xml:space="preserve"> </w:t>
      </w:r>
      <w:r>
        <w:t xml:space="preserve">Active participation in Moscow's leading engineering events (e.g., IT Forum, CTO Club) generated 27% of qualified applicants and significantly enhanced our employer brand perception.</w:t>
      </w:r>
    </w:p>
    <w:p>
      <w:pPr>
        <w:numPr>
          <w:ilvl w:val="0"/>
          <w:numId w:val="1002"/>
        </w:numPr>
        <w:pStyle w:val="Compact"/>
      </w:pPr>
      <w:r>
        <w:rPr>
          <w:bCs/>
          <w:b/>
        </w:rPr>
        <w:t xml:space="preserve">Referral Program:</w:t>
      </w:r>
      <w:r>
        <w:t xml:space="preserve"> </w:t>
      </w:r>
      <w:r>
        <w:t xml:space="preserve">Implemented a Moscow-specific incentive program that increased internal referrals by 65%, reducing reliance on third-party agencies.</w:t>
      </w:r>
    </w:p>
    <w:p>
      <w:pPr>
        <w:numPr>
          <w:ilvl w:val="0"/>
          <w:numId w:val="1002"/>
        </w:numPr>
        <w:pStyle w:val="Compact"/>
      </w:pPr>
      <w:r>
        <w:rPr>
          <w:bCs/>
          <w:b/>
        </w:rPr>
        <w:t xml:space="preserve">Digital Recruitment Campaigns:</w:t>
      </w:r>
      <w:r>
        <w:t xml:space="preserve"> </w:t>
      </w:r>
      <w:r>
        <w:t xml:space="preserve">Targeted LinkedIn and local platforms (HH.ru, Habr) achieved 18% conversion rate from candidate applications to interviews – 3x higher than industry benchmark in Russia Moscow market.</w:t>
      </w:r>
    </w:p>
    <w:bookmarkEnd w:id="23"/>
    <w:bookmarkStart w:id="24" w:name="v.-competitive-landscape-analysis"/>
    <w:p>
      <w:pPr>
        <w:pStyle w:val="Heading2"/>
      </w:pPr>
      <w:r>
        <w:t xml:space="preserve">V. COMPETITIVE LANDSCAPE ANALYSIS</w:t>
      </w:r>
    </w:p>
    <w:p>
      <w:pPr>
        <w:pStyle w:val="FirstParagraph"/>
      </w:pPr>
      <w:r>
        <w:t xml:space="preserve">The Software Engineer recruitment market in Moscow is highly competitive, with key differentiators for our success:</w:t>
      </w:r>
    </w:p>
    <w:p>
      <w:pPr>
        <w:pStyle w:val="BodyText"/>
      </w:pPr>
      <w:r>
        <w:rPr>
          <w:iCs/>
          <w:i/>
        </w:rPr>
        <w:t xml:space="preserve">Competitor Weaknesses Addressed by Our Strategy:</w:t>
      </w:r>
    </w:p>
    <w:p>
      <w:pPr>
        <w:numPr>
          <w:ilvl w:val="0"/>
          <w:numId w:val="1003"/>
        </w:numPr>
        <w:pStyle w:val="Compact"/>
      </w:pPr>
      <w:r>
        <w:t xml:space="preserve">Most competitors rely on generic job boards; we implemented specialized Moscow engineering community engagement</w:t>
      </w:r>
    </w:p>
    <w:p>
      <w:pPr>
        <w:numPr>
          <w:ilvl w:val="0"/>
          <w:numId w:val="1003"/>
        </w:numPr>
        <w:pStyle w:val="Compact"/>
      </w:pPr>
      <w:r>
        <w:t xml:space="preserve">Many foreign firms struggle with local salary expectations; our Russia Moscow compensation packages align precisely with regional benchmarks</w:t>
      </w:r>
    </w:p>
    <w:p>
      <w:pPr>
        <w:numPr>
          <w:ilvl w:val="0"/>
          <w:numId w:val="1003"/>
        </w:numPr>
        <w:pStyle w:val="Compact"/>
      </w:pPr>
      <w:r>
        <w:t xml:space="preserve">Lack of cultural integration programs was common; we developed mandatory Moscow-specific onboarding for new Software Engineers</w:t>
      </w:r>
    </w:p>
    <w:p>
      <w:pPr>
        <w:pStyle w:val="FirstParagraph"/>
      </w:pPr>
      <w:r>
        <w:rPr>
          <w:iCs/>
          <w:i/>
        </w:rPr>
        <w:t xml:space="preserve">Our Competitive Advantages in Russia Moscow:</w:t>
      </w:r>
    </w:p>
    <w:p>
      <w:pPr>
        <w:numPr>
          <w:ilvl w:val="0"/>
          <w:numId w:val="1004"/>
        </w:numPr>
        <w:pStyle w:val="Compact"/>
      </w:pPr>
      <w:r>
        <w:t xml:space="preserve">Localized recruitment team with fluency in Russian business context</w:t>
      </w:r>
    </w:p>
    <w:p>
      <w:pPr>
        <w:numPr>
          <w:ilvl w:val="0"/>
          <w:numId w:val="1004"/>
        </w:numPr>
        <w:pStyle w:val="Compact"/>
      </w:pPr>
      <w:r>
        <w:t xml:space="preserve">Dedicated relationship management with 15+ Moscow tech universities</w:t>
      </w:r>
    </w:p>
    <w:p>
      <w:pPr>
        <w:numPr>
          <w:ilvl w:val="0"/>
          <w:numId w:val="1004"/>
        </w:numPr>
        <w:pStyle w:val="Compact"/>
      </w:pPr>
      <w:r>
        <w:t xml:space="preserve">Comprehensive relocation support for international Software Engineers moving to Moscow</w:t>
      </w:r>
    </w:p>
    <w:bookmarkEnd w:id="24"/>
    <w:bookmarkStart w:id="25" w:name="X085b3a29b0f1537fcbe9bf411ceb27cd0822c6f"/>
    <w:p>
      <w:pPr>
        <w:pStyle w:val="Heading2"/>
      </w:pPr>
      <w:r>
        <w:t xml:space="preserve">VI. CHALLENGES &amp; MITIGATION STRATEGIES (RUSSIA MOSCOW FOCUS)</w:t>
      </w:r>
    </w:p>
    <w:p>
      <w:pPr>
        <w:pStyle w:val="FirstParagraph"/>
      </w:pPr>
      <w:r>
        <w:t xml:space="preserve">We encountered several Russia-specific challenges, with effective mitigation: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 Assessment</w:t>
            </w:r>
          </w:p>
        </w:tc>
        <w:tc>
          <w:tcPr/>
          <w:p>
            <w:pPr>
              <w:pStyle w:val="Compact"/>
              <w:jc w:val="left"/>
            </w:pPr>
            <w:r>
              <w:t xml:space="preserve">Mitigation Strategy</w:t>
            </w:r>
          </w:p>
        </w:tc>
      </w:tr>
      <w:tr>
        <w:tc>
          <w:tcPr/>
          <w:p>
            <w:pPr>
              <w:pStyle w:val="Compact"/>
              <w:jc w:val="left"/>
            </w:pPr>
            <w:r>
              <w:t xml:space="preserve">Russian market salary inflation (12% YoY)</w:t>
            </w:r>
          </w:p>
        </w:tc>
        <w:tc>
          <w:tcPr/>
          <w:p>
            <w:pPr>
              <w:pStyle w:val="Compact"/>
              <w:jc w:val="left"/>
            </w:pPr>
            <w:r>
              <w:t xml:space="preserve">Potential to reduce candidate pool by 15%</w:t>
            </w:r>
          </w:p>
        </w:tc>
        <w:tc>
          <w:tcPr/>
          <w:p>
            <w:pPr>
              <w:pStyle w:val="Compact"/>
              <w:jc w:val="left"/>
            </w:pPr>
            <w:r>
              <w:t xml:space="preserve">Implemented dynamic compensation framework tied to Moscow cost-of-living indices</w:t>
            </w:r>
          </w:p>
        </w:tc>
      </w:tr>
      <w:tr>
        <w:tc>
          <w:tcPr/>
          <w:p>
            <w:pPr>
              <w:pStyle w:val="Compact"/>
              <w:jc w:val="left"/>
            </w:pPr>
            <w:r>
              <w:t xml:space="preserve">Geopolitical uncertainty affecting talent mobility</w:t>
            </w:r>
          </w:p>
        </w:tc>
        <w:tc>
          <w:tcPr/>
          <w:p>
            <w:pPr>
              <w:pStyle w:val="Compact"/>
              <w:jc w:val="left"/>
            </w:pPr>
            <w:r>
              <w:t xml:space="preserve">Increased candidate hesitancy for international roles</w:t>
            </w:r>
          </w:p>
        </w:tc>
        <w:tc>
          <w:tcPr/>
          <w:p>
            <w:pPr>
              <w:pStyle w:val="Compact"/>
              <w:jc w:val="left"/>
            </w:pPr>
            <w:r>
              <w:t xml:space="preserve">Leveraged Moscow-based team for transparent career pathing communication</w:t>
            </w:r>
          </w:p>
        </w:tc>
      </w:tr>
      <w:tr>
        <w:tc>
          <w:tcPr/>
          <w:p>
            <w:pPr>
              <w:pStyle w:val="Compact"/>
              <w:jc w:val="left"/>
            </w:pPr>
            <w:r>
              <w:rPr>
                <w:bCs/>
                <w:b/>
              </w:rPr>
              <w:t xml:space="preserve">Skill gap in specialized domains (AI, blockchain)</w:t>
            </w:r>
          </w:p>
        </w:tc>
        <w:tc>
          <w:tcPr/>
          <w:p>
            <w:pPr>
              <w:pStyle w:val="Compact"/>
              <w:jc w:val="left"/>
            </w:pPr>
            <w:r>
              <w:rPr>
                <w:bCs/>
                <w:b/>
              </w:rPr>
              <w:t xml:space="preserve">18% of positions delayed due to scarce talent</w:t>
            </w:r>
          </w:p>
        </w:tc>
        <w:tc>
          <w:tcPr/>
          <w:p>
            <w:pPr>
              <w:pStyle w:val="Compact"/>
              <w:jc w:val="left"/>
            </w:pPr>
            <w:r>
              <w:rPr>
                <w:bCs/>
                <w:b/>
              </w:rPr>
              <w:t xml:space="preserve">Launched Moscow-focused upskilling partnerships with local tech incubators</w:t>
            </w:r>
          </w:p>
        </w:tc>
      </w:tr>
    </w:tbl>
    <w:bookmarkEnd w:id="25"/>
    <w:bookmarkStart w:id="27" w:name="vii.-conclusion-future-outlook"/>
    <w:p>
      <w:pPr>
        <w:pStyle w:val="Heading2"/>
      </w:pPr>
      <w:r>
        <w:t xml:space="preserve">VII. CONCLUSION &amp; FUTURE OUTLOOK</w:t>
      </w:r>
    </w:p>
    <w:p>
      <w:pPr>
        <w:pStyle w:val="FirstParagraph"/>
      </w:pPr>
      <w:r>
        <w:t xml:space="preserve">This Sales Report unequivocally demonstrates that strategic investment in Software Engineer talent acquisition within Russia Moscow delivers exceptional return on investment. Our 38% over-achievement in recruitment targets directly contributed to $9.3M in new business revenue during the reporting period, validating our regional market strategy.</w:t>
      </w:r>
    </w:p>
    <w:p>
      <w:pPr>
        <w:pStyle w:val="BodyText"/>
      </w:pPr>
      <w:r>
        <w:t xml:space="preserve">Looking ahead to 2024, we recommend:</w:t>
      </w:r>
    </w:p>
    <w:p>
      <w:pPr>
        <w:numPr>
          <w:ilvl w:val="0"/>
          <w:numId w:val="1005"/>
        </w:numPr>
        <w:pStyle w:val="Compact"/>
      </w:pPr>
      <w:r>
        <w:t xml:space="preserve">Expansion of Moscow-based upskilling initiatives targeting AI specialists (projected 35% talent gap reduction)</w:t>
      </w:r>
    </w:p>
    <w:p>
      <w:pPr>
        <w:numPr>
          <w:ilvl w:val="0"/>
          <w:numId w:val="1005"/>
        </w:numPr>
        <w:pStyle w:val="Compact"/>
      </w:pPr>
      <w:r>
        <w:t xml:space="preserve">Increased budget allocation for university partnerships in Russia Moscow (proposed +25%)</w:t>
      </w:r>
    </w:p>
    <w:p>
      <w:pPr>
        <w:numPr>
          <w:ilvl w:val="0"/>
          <w:numId w:val="1005"/>
        </w:numPr>
        <w:pStyle w:val="Compact"/>
      </w:pPr>
      <w:r>
        <w:t xml:space="preserve">Development of a dedicated "Moscow Tech Talent Hub" to streamline candidate experience</w:t>
      </w:r>
    </w:p>
    <w:p>
      <w:pPr>
        <w:pStyle w:val="FirstParagraph"/>
      </w:pPr>
      <w:r>
        <w:t xml:space="preserve">The Russia Moscow market continues to represent our most strategic growth engine for Software Engineer recruitment. Our ability to navigate local market complexities while delivering exceptional talent outcomes positions us uniquely in the global technology landscape. As we enter 2024, this Sales Report confirms that focused investment in the Russia Moscow engineering ecosystem remains fundamental to our long-term competitive advantage.</w:t>
      </w:r>
    </w:p>
    <w:bookmarkStart w:id="26" w:name="X938452d9eb41519b276e7e4bab329d190b6f7ff"/>
    <w:p>
      <w:pPr>
        <w:pStyle w:val="Heading3"/>
      </w:pPr>
      <w:r>
        <w:t xml:space="preserve">REPORT APPENDIX: KEY RUSSIA MOSCOW METRICS</w:t>
      </w:r>
    </w:p>
    <w:p>
      <w:pPr>
        <w:pStyle w:val="FirstParagraph"/>
      </w:pPr>
      <w:r>
        <w:rPr>
          <w:bCs/>
          <w:b/>
        </w:rPr>
        <w:t xml:space="preserve">Software Engineer Demand Growth (Moscow):</w:t>
      </w:r>
      <w:r>
        <w:t xml:space="preserve"> </w:t>
      </w:r>
      <w:r>
        <w:t xml:space="preserve">15.3% annually</w:t>
      </w:r>
      <w:r>
        <w:br/>
      </w:r>
      <w:r>
        <w:rPr>
          <w:bCs/>
          <w:b/>
        </w:rPr>
        <w:t xml:space="preserve">Average Moscow Market Salary (Senior Software Engineer):</w:t>
      </w:r>
      <w:r>
        <w:t xml:space="preserve"> </w:t>
      </w:r>
      <w:r>
        <w:t xml:space="preserve">$98,200 USD</w:t>
      </w:r>
      <w:r>
        <w:br/>
      </w:r>
      <w:r>
        <w:rPr>
          <w:bCs/>
          <w:b/>
        </w:rPr>
        <w:t xml:space="preserve">Talent Retention Rate in Russia Moscow:</w:t>
      </w:r>
      <w:r>
        <w:t xml:space="preserve"> </w:t>
      </w:r>
      <w:r>
        <w:t xml:space="preserve">86% (vs. industry average of 74%)</w:t>
      </w:r>
      <w:r>
        <w:br/>
      </w:r>
      <w:r>
        <w:rPr>
          <w:bCs/>
          <w:b/>
        </w:rPr>
        <w:t xml:space="preserve">Candidate Source Effectiveness:</w:t>
      </w:r>
      <w:r>
        <w:t xml:space="preserve"> </w:t>
      </w:r>
      <w:r>
        <w:t xml:space="preserve">Moscow University Partnerships (38%), Local Tech Events (27%), Digital Campaigns (18%)</w:t>
      </w:r>
    </w:p>
    <w:p>
      <w:pPr>
        <w:pStyle w:val="BodyText"/>
      </w:pPr>
      <w:r>
        <w:rPr>
          <w:iCs/>
          <w:i/>
        </w:rPr>
        <w:t xml:space="preserve">This Sales Report is prepared by Global Talent Acquisition, Russia Moscow Division. All data reflects market conditions and recruitment metrics specific to the Russia Moscow metropolitan area as of Q4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Software Engineer Recruitment in Russia Moscow</dc:title>
  <dc:creator/>
  <dc:language>en</dc:language>
  <cp:keywords/>
  <dcterms:created xsi:type="dcterms:W3CDTF">2025-12-14T03:54:50Z</dcterms:created>
  <dcterms:modified xsi:type="dcterms:W3CDTF">2025-12-14T03:54:50Z</dcterms:modified>
</cp:coreProperties>
</file>

<file path=docProps/custom.xml><?xml version="1.0" encoding="utf-8"?>
<Properties xmlns="http://schemas.openxmlformats.org/officeDocument/2006/custom-properties" xmlns:vt="http://schemas.openxmlformats.org/officeDocument/2006/docPropsVTypes"/>
</file>