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30" w:name="X03bd9a374ca16b7e6bd782ec514a45af265e03f"/>
    <w:p>
      <w:pPr>
        <w:pStyle w:val="Heading1"/>
      </w:pPr>
      <w:r>
        <w:t xml:space="preserve">Q3 2024 Sales Performance Report: Software Engineer Contributions in Thailand Bangkok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impact of our Software Engineering team on revenue growth within the dynamic Thailand Bangkok market. As the digital economy accelerates across Southeast Asia, our local Software Engineer resources have become indispensable to closing enterprise deals, enhancing client retention, and driving innovation that resonates with Bangkok's unique business ecosystem. This report confirms a 27% year-over-year increase in sales pipeline value directly attributable to engineering-led solutions tailored for Thailand's commercial landscape. The</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has proven itself as the core differentiator in competitive bids against regional tech providers.</w:t>
      </w:r>
    </w:p>
    <w:bookmarkEnd w:id="20"/>
    <w:bookmarkStart w:id="21" w:name="Xb211fbe7a66aab2ff8d32c6450e621732646a37"/>
    <w:p>
      <w:pPr>
        <w:pStyle w:val="Heading2"/>
      </w:pPr>
      <w:r>
        <w:t xml:space="preserve">Market Context: Why Bangkok Demands Engineering Excellence</w:t>
      </w:r>
    </w:p>
    <w:p>
      <w:pPr>
        <w:pStyle w:val="FirstParagraph"/>
      </w:pPr>
      <w:r>
        <w:rPr>
          <w:bCs/>
          <w:b/>
        </w:rPr>
        <w:t xml:space="preserve">Bangkok's digital transformation surge</w:t>
      </w:r>
      <w:r>
        <w:t xml:space="preserve"> </w:t>
      </w:r>
      <w:r>
        <w:t xml:space="preserve">creates unprecedented demand for localized software solutions. As Thailand's economic engine, Bangkok hosts 63% of the nation's Fortune 500 subsidiaries and over 8,200 tech startups (Thailand Digital Economy Promotion Agency, Q2 2024). Enterprises here require solutions that integrate with local payment gateways (PromptPay, TrueMoney), comply with Thailand's Personal Data Protection Act (PDPA), and support multilingual interfaces including Thai script. Generic global software fails in this environment. This is where our</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delivers exceptional value – they don't just code; they engineer cultural and regulatory alignment.</w:t>
      </w:r>
    </w:p>
    <w:bookmarkEnd w:id="21"/>
    <w:bookmarkStart w:id="22" w:name="Xc74a2c7325d8d943df5a014cf43ee8af96466cd"/>
    <w:p>
      <w:pPr>
        <w:pStyle w:val="Heading2"/>
      </w:pPr>
      <w:r>
        <w:t xml:space="preserve">Key Sales Metrics Driven by Software Engineering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Sales Pipeline Value (THB)</w:t>
            </w:r>
          </w:p>
        </w:tc>
        <w:tc>
          <w:tcPr/>
          <w:p>
            <w:pPr>
              <w:pStyle w:val="Compact"/>
              <w:jc w:val="left"/>
            </w:pPr>
            <w:r>
              <w:t xml:space="preserve">18.7M</w:t>
            </w:r>
          </w:p>
        </w:tc>
        <w:tc>
          <w:tcPr/>
          <w:p>
            <w:pPr>
              <w:pStyle w:val="Compact"/>
              <w:jc w:val="left"/>
            </w:pPr>
            <w:r>
              <w:t xml:space="preserve">23.8M</w:t>
            </w:r>
          </w:p>
        </w:tc>
        <w:tc>
          <w:tcPr/>
          <w:p>
            <w:pPr>
              <w:pStyle w:val="Compact"/>
              <w:jc w:val="left"/>
            </w:pPr>
            <w:r>
              <w:t xml:space="preserve">+27.3%</w:t>
            </w:r>
          </w:p>
        </w:tc>
      </w:tr>
      <w:tr>
        <w:tc>
          <w:tcPr/>
          <w:p>
            <w:pPr>
              <w:pStyle w:val="Compact"/>
              <w:jc w:val="left"/>
            </w:pPr>
            <w:r>
              <w:t xml:space="preserve">Enterprise Deal Win Rate (Local)</w:t>
            </w:r>
          </w:p>
        </w:tc>
        <w:tc>
          <w:tcPr/>
          <w:p>
            <w:pPr>
              <w:pStyle w:val="Compact"/>
              <w:jc w:val="left"/>
            </w:pPr>
            <w:r>
              <w:t xml:space="preserve">41%</w:t>
            </w:r>
          </w:p>
        </w:tc>
        <w:tc>
          <w:tcPr>
            <w:gridSpan w:val="2"/>
          </w:tcPr>
          <w:p>
            <w:pPr>
              <w:pStyle w:val="Compact"/>
              <w:jc w:val="left"/>
            </w:pPr>
            <w:r>
              <w:t xml:space="preserve">59% +44% points (vs. regional avg: 38%)</w:t>
            </w:r>
          </w:p>
        </w:tc>
      </w:tr>
      <w:tr>
        <w:tc>
          <w:tcPr/>
          <w:p>
            <w:pPr>
              <w:pStyle w:val="Compact"/>
              <w:jc w:val="left"/>
            </w:pPr>
            <w:r>
              <w:t xml:space="preserve">Client Retention Rate (Post-Implementation)</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pts</w:t>
            </w:r>
          </w:p>
        </w:tc>
      </w:tr>
      <w:tr>
        <w:tc>
          <w:tcPr/>
          <w:p>
            <w:pPr>
              <w:pStyle w:val="Compact"/>
              <w:jc w:val="left"/>
            </w:pPr>
            <w:r>
              <w:t xml:space="preserve">Solution Customization Requests Handled</w:t>
            </w:r>
          </w:p>
        </w:tc>
        <w:tc>
          <w:tcPr/>
          <w:p>
            <w:pPr>
              <w:pStyle w:val="Compact"/>
              <w:jc w:val="left"/>
            </w:pPr>
            <w:r>
              <w:t xml:space="preserve">42</w:t>
            </w:r>
          </w:p>
        </w:tc>
        <w:tc>
          <w:tcPr>
            <w:gridSpan w:val="2"/>
          </w:tcPr>
          <w:p>
            <w:pPr>
              <w:pStyle w:val="Compact"/>
              <w:jc w:val="left"/>
            </w:pPr>
            <w:r>
              <w:t xml:space="preserve">87 (+107% increase)</w:t>
            </w:r>
          </w:p>
        </w:tc>
      </w:tr>
    </w:tbl>
    <w:bookmarkEnd w:id="22"/>
    <w:bookmarkStart w:id="26" w:name="X5d61aa17af395244fdf5d1fdfc3aec5ae5a03ab"/>
    <w:p>
      <w:pPr>
        <w:pStyle w:val="Heading2"/>
      </w:pPr>
      <w:r>
        <w:t xml:space="preserve">Engineering-Led Sales Success Stories: Thailand Bangkok Cases</w:t>
      </w:r>
    </w:p>
    <w:bookmarkStart w:id="23" w:name="Xc666271b1dcdc454ba7d73a2061b65cd84a9a43"/>
    <w:p>
      <w:pPr>
        <w:pStyle w:val="Heading3"/>
      </w:pPr>
      <w:r>
        <w:t xml:space="preserve">Case Study 1: Retail Giant "Central Group" (Bangkok-based Enterprise)</w:t>
      </w:r>
    </w:p>
    <w:p>
      <w:pPr>
        <w:pStyle w:val="FirstParagraph"/>
      </w:pPr>
      <w:r>
        <w:t xml:space="preserve">The sales cycle for Central Group's omnichannel platform was stalled until our Bangkok Software Engineer team demonstrated a solution integrating with Thailand's dominant POS systems (e.g., True Retail, iPOS) and adding real-time Thai language support. The engineer developed a custom module within 18 days – accelerating the deal by 3 weeks. This resulted in a THB 9.2M contract win, directly attributed to engineering capabilities visible during client demos.</w:t>
      </w:r>
    </w:p>
    <w:bookmarkEnd w:id="23"/>
    <w:bookmarkStart w:id="24" w:name="X1618b4d70a8874619deec5e7fa4cb0eea8ab05e"/>
    <w:p>
      <w:pPr>
        <w:pStyle w:val="Heading3"/>
      </w:pPr>
      <w:r>
        <w:t xml:space="preserve">Case Study 2: Banking Client "Krungsri" (Bangkok HQ)</w:t>
      </w:r>
    </w:p>
    <w:p>
      <w:pPr>
        <w:pStyle w:val="FirstParagraph"/>
      </w:pPr>
      <w:r>
        <w:t xml:space="preserve">For Krungsri's mobile banking app upgrade, our Software Engineer collaborated with sales to address critical Thai compliance needs. They implemented a PDPA-compliant data anonymization feature requested during the final negotiation phase. This engineering intervention resolved the client's primary security concern, turning a potential $2M loss into a $4.5M contract – showcasing how engineering directly prevents sales attrition in</w:t>
      </w:r>
      <w:r>
        <w:t xml:space="preserve"> </w:t>
      </w:r>
      <w:r>
        <w:rPr>
          <w:bCs/>
          <w:b/>
        </w:rPr>
        <w:t xml:space="preserve">Thailand Bangkok</w:t>
      </w:r>
      <w:r>
        <w:t xml:space="preserve">.</w:t>
      </w:r>
    </w:p>
    <w:bookmarkEnd w:id="24"/>
    <w:bookmarkStart w:id="25" w:name="X72ad0d035c8f989887881e8cbc8e4d52dc6984f"/>
    <w:p>
      <w:pPr>
        <w:pStyle w:val="Heading3"/>
      </w:pPr>
      <w:r>
        <w:t xml:space="preserve">Case Study 3: Startup Acceleration Program (Bangkok Tech Hub)</w:t>
      </w:r>
    </w:p>
    <w:p>
      <w:pPr>
        <w:pStyle w:val="FirstParagraph"/>
      </w:pPr>
      <w:r>
        <w:t xml:space="preserve">In partnership with the BANGKOK TECH HUB initiative, our Software Engineers provided free technical workshops for Thai startups on building scalable apps for local markets. This generated 28 qualified leads and positioned us as a community partner. Sales converted 6 of these into paying clients within Q3 (THB 1.7M), demonstrating how engineering expertise builds trust that fuels the sales pipeline in</w:t>
      </w:r>
      <w:r>
        <w:t xml:space="preserve"> </w:t>
      </w:r>
      <w:r>
        <w:rPr>
          <w:bCs/>
          <w:b/>
        </w:rPr>
        <w:t xml:space="preserve">Thailand Bangkok</w:t>
      </w:r>
      <w:r>
        <w:t xml:space="preserve">.</w:t>
      </w:r>
    </w:p>
    <w:bookmarkEnd w:id="25"/>
    <w:bookmarkEnd w:id="26"/>
    <w:bookmarkStart w:id="27" w:name="Xaf42c008a6e6e5882c4517eb139f2bdac4ab439"/>
    <w:p>
      <w:pPr>
        <w:pStyle w:val="Heading2"/>
      </w:pPr>
      <w:r>
        <w:t xml:space="preserve">Challenges &amp; Strategic Engineering Solutions in Bangkok Market</w:t>
      </w:r>
    </w:p>
    <w:p>
      <w:pPr>
        <w:pStyle w:val="FirstParagraph"/>
      </w:pPr>
      <w:r>
        <w:t xml:space="preserve">Operating from our Bangkok office, our Software Engineer team identified two critical challenges requiring localized solutions:</w:t>
      </w:r>
    </w:p>
    <w:p>
      <w:pPr>
        <w:numPr>
          <w:ilvl w:val="0"/>
          <w:numId w:val="1001"/>
        </w:numPr>
        <w:pStyle w:val="Compact"/>
      </w:pPr>
      <w:r>
        <w:rPr>
          <w:bCs/>
          <w:b/>
        </w:rPr>
        <w:t xml:space="preserve">Language Integration Complexity:</w:t>
      </w:r>
      <w:r>
        <w:t xml:space="preserve"> </w:t>
      </w:r>
      <w:r>
        <w:t xml:space="preserve">Standard NLP tools failed for Thai dialects. Engineers developed a custom Thai sentiment analysis API, now included in all sales proposals – improving client trust metrics by 32%.</w:t>
      </w:r>
    </w:p>
    <w:p>
      <w:pPr>
        <w:numPr>
          <w:ilvl w:val="0"/>
          <w:numId w:val="1001"/>
        </w:numPr>
        <w:pStyle w:val="Compact"/>
      </w:pPr>
      <w:r>
        <w:rPr>
          <w:bCs/>
          <w:b/>
        </w:rPr>
        <w:t xml:space="preserve">Payment Ecosystem Fragmentation:</w:t>
      </w:r>
      <w:r>
        <w:t xml:space="preserve"> </w:t>
      </w:r>
      <w:r>
        <w:t xml:space="preserve">Multiple local payment methods (PromptPay QR, TrueMoney, credit cards) needed unified handling. The engineering team created a single SDK for seamless integration – a key differentiator in 17 of Q3's enterprise wins.</w:t>
      </w:r>
    </w:p>
    <w:bookmarkEnd w:id="27"/>
    <w:bookmarkStart w:id="28" w:name="X6a1d3207d56372667536e2f2a4ad9280372ef32"/>
    <w:p>
      <w:pPr>
        <w:pStyle w:val="Heading2"/>
      </w:pPr>
      <w:r>
        <w:t xml:space="preserve">Recommendations: Scaling the Engineering-Sales Synergy in Thailand Bangkok</w:t>
      </w:r>
    </w:p>
    <w:p>
      <w:pPr>
        <w:pStyle w:val="FirstParagraph"/>
      </w:pPr>
      <w:r>
        <w:t xml:space="preserve">To capitalize on our success, we propose:</w:t>
      </w:r>
    </w:p>
    <w:p>
      <w:pPr>
        <w:numPr>
          <w:ilvl w:val="0"/>
          <w:numId w:val="1002"/>
        </w:numPr>
        <w:pStyle w:val="Compact"/>
      </w:pPr>
      <w:r>
        <w:rPr>
          <w:bCs/>
          <w:b/>
        </w:rPr>
        <w:t xml:space="preserve">Establish Dedicated Bangkok Sales-Engineering Pods:</w:t>
      </w:r>
      <w:r>
        <w:t xml:space="preserve"> </w:t>
      </w:r>
      <w:r>
        <w:t xml:space="preserve">Assign 1 Software Engineer per key sales account manager in</w:t>
      </w:r>
      <w:r>
        <w:t xml:space="preserve"> </w:t>
      </w:r>
      <w:r>
        <w:rPr>
          <w:bCs/>
          <w:b/>
        </w:rPr>
        <w:t xml:space="preserve">Thailand Bangkok</w:t>
      </w:r>
      <w:r>
        <w:t xml:space="preserve">, reducing solution design time by 40% and increasing deal velocity.</w:t>
      </w:r>
    </w:p>
    <w:p>
      <w:pPr>
        <w:numPr>
          <w:ilvl w:val="0"/>
          <w:numId w:val="1002"/>
        </w:numPr>
        <w:pStyle w:val="Compact"/>
      </w:pPr>
      <w:r>
        <w:rPr>
          <w:bCs/>
          <w:b/>
        </w:rPr>
        <w:t xml:space="preserve">Create Thailand-Specific Solution Catalog:</w:t>
      </w:r>
      <w:r>
        <w:t xml:space="preserve"> </w:t>
      </w:r>
      <w:r>
        <w:t xml:space="preserve">Build a library of pre-approved engineering modules (PDPA compliance, Thai-language UI kits, local payment integrations) for rapid sales deployment – targeting 90% faster proposal cycles by Q1 2025.</w:t>
      </w:r>
    </w:p>
    <w:p>
      <w:pPr>
        <w:numPr>
          <w:ilvl w:val="0"/>
          <w:numId w:val="1002"/>
        </w:numPr>
        <w:pStyle w:val="Compact"/>
      </w:pPr>
      <w:r>
        <w:rPr>
          <w:bCs/>
          <w:b/>
        </w:rPr>
        <w:t xml:space="preserve">Invest in Local Talent Development:</w:t>
      </w:r>
      <w:r>
        <w:t xml:space="preserve"> </w:t>
      </w:r>
      <w:r>
        <w:t xml:space="preserve">Partner with Bangkok universities (Chulalongkorn, King Mongkut's University) to create a pipeline of Thai-speaking software engineers trained on local market needs – crucial for maintaining our competitive edge in</w:t>
      </w:r>
      <w:r>
        <w:t xml:space="preserve"> </w:t>
      </w:r>
      <w:r>
        <w:rPr>
          <w:bCs/>
          <w:b/>
        </w:rPr>
        <w:t xml:space="preserve">Thailand Bangkok</w:t>
      </w:r>
      <w:r>
        <w:t xml:space="preserve">.</w:t>
      </w:r>
    </w:p>
    <w:bookmarkEnd w:id="28"/>
    <w:bookmarkStart w:id="29" w:name="Xf5c8ecd080724c37ff825f6703b3391cbff0bf9"/>
    <w:p>
      <w:pPr>
        <w:pStyle w:val="Heading2"/>
      </w:pPr>
      <w:r>
        <w:t xml:space="preserve">Conclusion: The Unmatched Value of Local Engineering Talent</w:t>
      </w:r>
    </w:p>
    <w:p>
      <w:pPr>
        <w:pStyle w:val="FirstParagraph"/>
      </w:pPr>
      <w:r>
        <w:t xml:space="preserve">This Sales Report unequivocally demonstrates that the Software Engineer is no longer a backend support function in Thailand's business landscape – they are a frontline sales catalyst. Our team in Bangkok has achieved remarkable results by embedding engineering expertise directly into the client acquisition and retention process. The 27% revenue growth this quarter isn't just about better software; it's about understanding that Thailand Bangkok clients need solutions engineered for their culture, regulations, and language – not just delivered to them. As we move toward Q4 2024, our strategic investment in local Software Engineer talent will remain the cornerstone of our sales success across Southeast Asia. We forecast a continued 20%+ growth in sales pipeline value driven by engineering-led initiatives specifically designed for</w:t>
      </w:r>
      <w:r>
        <w:t xml:space="preserve"> </w:t>
      </w:r>
      <w:r>
        <w:rPr>
          <w:bCs/>
          <w:b/>
        </w:rPr>
        <w:t xml:space="preserve">Thailand Bangkok</w:t>
      </w:r>
      <w:r>
        <w:t xml:space="preserve">.</w:t>
      </w:r>
    </w:p>
    <w:p>
      <w:pPr>
        <w:pStyle w:val="BodyText"/>
      </w:pPr>
      <w:r>
        <w:rPr>
          <w:iCs/>
          <w:i/>
        </w:rPr>
        <w:t xml:space="preserve">Prepared by: Global Sales Engineering Division, Bangkok Operations | 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Software Engineer Sales Performance Report Q3 2024</dc:title>
  <dc:creator/>
  <dc:language>en</dc:language>
  <cp:keywords/>
  <dcterms:created xsi:type="dcterms:W3CDTF">2025-12-14T00:08:55Z</dcterms:created>
  <dcterms:modified xsi:type="dcterms:W3CDTF">2025-12-14T00:08:55Z</dcterms:modified>
</cp:coreProperties>
</file>

<file path=docProps/custom.xml><?xml version="1.0" encoding="utf-8"?>
<Properties xmlns="http://schemas.openxmlformats.org/officeDocument/2006/custom-properties" xmlns:vt="http://schemas.openxmlformats.org/officeDocument/2006/docPropsVTypes"/>
</file>