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on</w:t>
      </w:r>
      <w:r>
        <w:t xml:space="preserve"> </w:t>
      </w:r>
      <w:r>
        <w:t xml:space="preserve">Revenue</w:t>
      </w:r>
      <w:r>
        <w:t xml:space="preserve"> </w:t>
      </w:r>
      <w:r>
        <w:t xml:space="preserve">Growth</w:t>
      </w:r>
      <w:r>
        <w:t xml:space="preserve"> </w:t>
      </w:r>
      <w:r>
        <w:t xml:space="preserve">in</w:t>
      </w:r>
      <w:r>
        <w:t xml:space="preserve"> </w:t>
      </w:r>
      <w:r>
        <w:t xml:space="preserve">Dubai,</w:t>
      </w:r>
      <w:r>
        <w:t xml:space="preserve"> </w:t>
      </w:r>
      <w:r>
        <w:t xml:space="preserve">UAE</w:t>
      </w:r>
    </w:p>
    <w:bookmarkStart w:id="31" w:name="X1ba76ab147dc632a675bc827ae08e6758fa7fd9"/>
    <w:p>
      <w:pPr>
        <w:pStyle w:val="Heading1"/>
      </w:pPr>
      <w:r>
        <w:t xml:space="preserve">Annual Sales Performance Report: Strategic Contributions of Software Engineers in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January 1 - December 31, 2023</w:t>
      </w:r>
      <w:r>
        <w:br/>
      </w:r>
      <w:r>
        <w:rPr>
          <w:bCs/>
          <w:b/>
        </w:rPr>
        <w:t xml:space="preserve">Location Focus:</w:t>
      </w:r>
      <w:r>
        <w:t xml:space="preserve"> </w:t>
      </w:r>
      <w:r>
        <w:t xml:space="preserve">United Arab Emirates Dubai</w:t>
      </w:r>
    </w:p>
    <w:bookmarkStart w:id="20" w:name="i.-executive-summary"/>
    <w:p>
      <w:pPr>
        <w:pStyle w:val="Heading2"/>
      </w:pPr>
      <w:r>
        <w:t xml:space="preserve">I. Executive Summary</w:t>
      </w:r>
    </w:p>
    <w:p>
      <w:pPr>
        <w:pStyle w:val="FirstParagraph"/>
      </w:pPr>
      <w:r>
        <w:t xml:space="preserve">This comprehensive Sales Report details the pivotal role of our Software Engineering team in driving revenue growth and market leadership within Dubai's dynamic technology landscape. In the United Arab Emirates Dubai, where digital transformation is accelerating at unprecedented rates, our Software Engineers have directly contributed to a 34% YoY increase in sales performance across enterprise clients. This report validates how strategic engineering innovation has become inseparable from our sales success narrative in one of the world's most competitive tech markets.</w:t>
      </w:r>
    </w:p>
    <w:bookmarkEnd w:id="20"/>
    <w:bookmarkStart w:id="21" w:name="X6c59c353d4d2e2e2968164ec8482addfa9d400d"/>
    <w:p>
      <w:pPr>
        <w:pStyle w:val="Heading2"/>
      </w:pPr>
      <w:r>
        <w:t xml:space="preserve">II. Dubai Market Context: The Strategic Imperative</w:t>
      </w:r>
    </w:p>
    <w:p>
      <w:pPr>
        <w:pStyle w:val="FirstParagraph"/>
      </w:pPr>
      <w:r>
        <w:t xml:space="preserve">As the economic nerve center of the United Arab Emirates, Dubai attracts 35% of all GCC technology investments with its World Economic Forum-ranked digital infrastructure. Our sales team has witnessed a 47% surge in enterprise SaaS adoption since 2021, directly correlating with our Software Engineers' delivery of region-specific solutions. The UAE's National AI Strategy and Dubai Future Accelerators program have created unique demand patterns requiring culturally nuanced software engineering – a capability that distinguishes us from global competitors in this market. This Sales Report confirms that technical excellence is now the primary differentiator in closing major deals across Dubai's banking, healthcare, and government sectors.</w:t>
      </w:r>
    </w:p>
    <w:bookmarkEnd w:id="21"/>
    <w:bookmarkStart w:id="24" w:name="Xa4bc3427b147f67a81cb9ddc68f31bcd8c9c66e"/>
    <w:p>
      <w:pPr>
        <w:pStyle w:val="Heading2"/>
      </w:pPr>
      <w:r>
        <w:t xml:space="preserve">III. Software Engineer Contributions to Revenue Streams</w:t>
      </w:r>
    </w:p>
    <w:bookmarkStart w:id="22" w:name="Xa0eb4711ec85c1c61f979c9c775289c87dac07c"/>
    <w:p>
      <w:pPr>
        <w:pStyle w:val="Heading3"/>
      </w:pPr>
      <w:r>
        <w:t xml:space="preserve">A. Product Development Driving Sales Velocity</w:t>
      </w:r>
    </w:p>
    <w:p>
      <w:pPr>
        <w:pStyle w:val="FirstParagraph"/>
      </w:pPr>
      <w:r>
        <w:t xml:space="preserve">Our Dubai-based Software Engineering team delivered 178 critical features in 2023 specifically designed for UAE regulatory compliance (including ADGM and DIFC frameworks). These enhancements directly accelerated sales cycles by an average of 22 days per enterprise deal. Notable examples include:</w:t>
      </w:r>
    </w:p>
    <w:p>
      <w:pPr>
        <w:numPr>
          <w:ilvl w:val="0"/>
          <w:numId w:val="1001"/>
        </w:numPr>
        <w:pStyle w:val="Compact"/>
      </w:pPr>
      <w:r>
        <w:rPr>
          <w:bCs/>
          <w:b/>
        </w:rPr>
        <w:t xml:space="preserve">Arabic Language Optimization</w:t>
      </w:r>
      <w:r>
        <w:t xml:space="preserve">: Engineered seamless Arabic UI/UX support that increased conversion rates among government entities by 39%</w:t>
      </w:r>
    </w:p>
    <w:p>
      <w:pPr>
        <w:numPr>
          <w:ilvl w:val="0"/>
          <w:numId w:val="1001"/>
        </w:numPr>
        <w:pStyle w:val="Compact"/>
      </w:pPr>
      <w:r>
        <w:rPr>
          <w:bCs/>
          <w:b/>
        </w:rPr>
        <w:t xml:space="preserve">Local Payment Gateway Integration</w:t>
      </w:r>
      <w:r>
        <w:t xml:space="preserve">: Development of Emirates NBD and Mada payment processing reduced checkout abandonment by 63% in the Dubai market</w:t>
      </w:r>
    </w:p>
    <w:p>
      <w:pPr>
        <w:numPr>
          <w:ilvl w:val="0"/>
          <w:numId w:val="1001"/>
        </w:numPr>
        <w:pStyle w:val="Compact"/>
      </w:pPr>
      <w:r>
        <w:rPr>
          <w:bCs/>
          <w:b/>
        </w:rPr>
        <w:t xml:space="preserve">Compliance Automation Suite</w:t>
      </w:r>
      <w:r>
        <w:t xml:space="preserve">: Automated UAE data localization features that eliminated manual compliance checks, making our solution 5x faster than competitors to deploy for Dubai-based clients</w:t>
      </w:r>
    </w:p>
    <w:bookmarkEnd w:id="22"/>
    <w:bookmarkStart w:id="23" w:name="X174615d3b006fff3ef9a879d85bb85822449a5c"/>
    <w:p>
      <w:pPr>
        <w:pStyle w:val="Heading3"/>
      </w:pPr>
      <w:r>
        <w:t xml:space="preserve">B. Sales Enablement through Engineering Excellence</w:t>
      </w:r>
    </w:p>
    <w:p>
      <w:pPr>
        <w:pStyle w:val="FirstParagraph"/>
      </w:pPr>
      <w:r>
        <w:t xml:space="preserve">Software Engineers have transformed traditional sales cycles by becoming frontline enablement partners:</w:t>
      </w:r>
    </w:p>
    <w:p>
      <w:pPr>
        <w:numPr>
          <w:ilvl w:val="0"/>
          <w:numId w:val="1002"/>
        </w:numPr>
        <w:pStyle w:val="Compact"/>
      </w:pPr>
      <w:r>
        <w:t xml:space="preserve">Engineered 12 customized demos for Dubai government tenders, resulting in 87% win rate versus industry average of 54%</w:t>
      </w:r>
    </w:p>
    <w:p>
      <w:pPr>
        <w:numPr>
          <w:ilvl w:val="0"/>
          <w:numId w:val="1002"/>
        </w:numPr>
        <w:pStyle w:val="Compact"/>
      </w:pPr>
      <w:r>
        <w:t xml:space="preserve">Developed real-time client ROI calculators that increased deal size by $142K on average per transaction</w:t>
      </w:r>
    </w:p>
    <w:p>
      <w:pPr>
        <w:numPr>
          <w:ilvl w:val="0"/>
          <w:numId w:val="1002"/>
        </w:numPr>
        <w:pStyle w:val="Compact"/>
      </w:pPr>
      <w:r>
        <w:t xml:space="preserve">Created UAE-specific use case libraries accessible to sales team, reducing proposal preparation time by 68 hours per deal</w:t>
      </w:r>
    </w:p>
    <w:bookmarkEnd w:id="23"/>
    <w:bookmarkEnd w:id="24"/>
    <w:bookmarkStart w:id="25" w:name="X92c9519b31e291f366bc6eb7ca8cc6f3001735e"/>
    <w:p>
      <w:pPr>
        <w:pStyle w:val="Heading2"/>
      </w:pPr>
      <w:r>
        <w:t xml:space="preserve">IV. Quantitative Sales Impact (Dubai Focus)</w:t>
      </w:r>
    </w:p>
    <w:p>
      <w:pPr>
        <w:pStyle w:val="FirstParagraph"/>
      </w:pPr>
      <w:r>
        <w:t xml:space="preserve">Metric</w:t>
      </w:r>
    </w:p>
    <w:p>
      <w:pPr>
        <w:pStyle w:val="BodyText"/>
      </w:pPr>
      <w:r>
        <w:t xml:space="preserve">2022</w:t>
      </w:r>
    </w:p>
    <w:p>
      <w:pPr>
        <w:pStyle w:val="BodyText"/>
      </w:pPr>
      <w:r>
        <w:t xml:space="preserve">2023</w:t>
      </w:r>
    </w:p>
    <w:p>
      <w:pPr>
        <w:pStyle w:val="BodyText"/>
      </w:pPr>
    </w:p>
    <w:p>
      <w:pPr>
        <w:pStyle w:val="BodyText"/>
      </w:pPr>
      <w:r>
        <w:t xml:space="preserve">% Change</w:t>
      </w:r>
    </w:p>
    <w:p>
      <w:pPr>
        <w:pStyle w:val="BodyText"/>
      </w:pPr>
      <w:r>
        <w:t xml:space="preserve">Revenue from Dubai Enterprise Clients</w:t>
      </w:r>
    </w:p>
    <w:p>
      <w:pPr>
        <w:pStyle w:val="BodyText"/>
      </w:pPr>
      <w:r>
        <w:t xml:space="preserve">AED 18.7M</w:t>
      </w:r>
    </w:p>
    <w:p>
      <w:pPr>
        <w:pStyle w:val="BodyText"/>
      </w:pPr>
      <w:r>
        <w:t xml:space="preserve">AED 25.1M</w:t>
      </w:r>
    </w:p>
    <w:p>
      <w:pPr>
        <w:pStyle w:val="BodyText"/>
      </w:pPr>
      <w:r>
        <w:t xml:space="preserve">+34%</w:t>
      </w:r>
    </w:p>
    <w:p>
      <w:pPr>
        <w:pStyle w:val="BodyText"/>
      </w:pPr>
      <w:r>
        <w:t xml:space="preserve">Sales Cycle Duration (Dubai)</w:t>
      </w:r>
    </w:p>
    <w:p>
      <w:pPr>
        <w:pStyle w:val="BodyText"/>
      </w:pPr>
      <w:r>
        <w:t xml:space="preserve">87 days</w:t>
      </w:r>
    </w:p>
    <w:p>
      <w:pPr>
        <w:pStyle w:val="BodyText"/>
      </w:pPr>
      <w:r>
        <w:t xml:space="preserve">65 days</w:t>
      </w:r>
    </w:p>
    <w:p>
      <w:pPr>
        <w:pStyle w:val="BodyText"/>
      </w:pPr>
      <w:r>
        <w:t xml:space="preserve">-25%</w:t>
      </w:r>
    </w:p>
    <w:p>
      <w:pPr>
        <w:pStyle w:val="BodyText"/>
      </w:pPr>
      <w:r>
        <w:t xml:space="preserve">Average Deal Size (Dubai)</w:t>
      </w:r>
    </w:p>
    <w:p>
      <w:pPr>
        <w:pStyle w:val="BodyText"/>
      </w:pPr>
      <w:r>
        <w:t xml:space="preserve">AED 1.38M</w:t>
      </w:r>
    </w:p>
    <w:p>
      <w:pPr>
        <w:pStyle w:val="BodyText"/>
      </w:pPr>
      <w:r>
        <w:t xml:space="preserve">AED 1.79M</w:t>
      </w:r>
    </w:p>
    <w:p>
      <w:pPr>
        <w:pStyle w:val="BodyText"/>
      </w:pPr>
      <w:r>
        <w:t xml:space="preserve">+30%</w:t>
      </w:r>
    </w:p>
    <w:p>
      <w:pPr>
        <w:pStyle w:val="BodyText"/>
      </w:pPr>
      <w:r>
        <w:t xml:space="preserve">Customer Retention Rate (Dubai)</w:t>
      </w:r>
    </w:p>
    <w:p>
      <w:pPr>
        <w:pStyle w:val="BodyText"/>
      </w:pPr>
      <w:r>
        <w:t xml:space="preserve">82%</w:t>
      </w:r>
    </w:p>
    <w:p>
      <w:pPr>
        <w:pStyle w:val="BodyText"/>
      </w:pPr>
      <w:r>
        <w:t xml:space="preserve">91%</w:t>
      </w:r>
    </w:p>
    <w:p>
      <w:pPr>
        <w:pStyle w:val="BodyText"/>
      </w:pPr>
      <w:r>
        <w:t xml:space="preserve">+9%</w:t>
      </w:r>
    </w:p>
    <w:bookmarkEnd w:id="25"/>
    <w:bookmarkStart w:id="28" w:name="X9d41f7a1fdc9a5e849d5c5752980a517405f6ea"/>
    <w:p>
      <w:pPr>
        <w:pStyle w:val="Heading2"/>
      </w:pPr>
      <w:r>
        <w:t xml:space="preserve">V. Strategic Challenges &amp; Engineering Solutions</w:t>
      </w:r>
    </w:p>
    <w:p>
      <w:pPr>
        <w:pStyle w:val="FirstParagraph"/>
      </w:pPr>
      <w:r>
        <w:t xml:space="preserve">The United Arab Emirates Dubai market presented unique technical challenges requiring specialized engineering approaches:</w:t>
      </w:r>
    </w:p>
    <w:bookmarkStart w:id="26" w:name="X33542d8c52b7e08207852d1df18b5cde110770b"/>
    <w:p>
      <w:pPr>
        <w:pStyle w:val="Heading3"/>
      </w:pPr>
      <w:r>
        <w:t xml:space="preserve">Challenge 1: Cultural &amp; Linguistic Localization</w:t>
      </w:r>
    </w:p>
    <w:p>
      <w:pPr>
        <w:pStyle w:val="FirstParagraph"/>
      </w:pPr>
      <w:r>
        <w:rPr>
          <w:iCs/>
          <w:i/>
        </w:rPr>
        <w:t xml:space="preserve">Issue:</w:t>
      </w:r>
      <w:r>
        <w:t xml:space="preserve"> </w:t>
      </w:r>
      <w:r>
        <w:t xml:space="preserve">Non-native Arabic interfaces caused 40% of demo drop-offs during initial client engagements.</w:t>
      </w:r>
    </w:p>
    <w:p>
      <w:pPr>
        <w:pStyle w:val="BodyText"/>
      </w:pPr>
      <w:r>
        <w:rPr>
          <w:iCs/>
          <w:i/>
        </w:rPr>
        <w:t xml:space="preserve">Solution:</w:t>
      </w:r>
      <w:r>
        <w:t xml:space="preserve"> </w:t>
      </w:r>
      <w:r>
        <w:t xml:space="preserve">Our Software Engineers implemented context-aware Arabic NLP processing that adapts to regional dialects (Gulf vs. Egyptian) and formal business language. This directly contributed to a 52% increase in qualified leads from Dubai's cultural sector clients.</w:t>
      </w:r>
    </w:p>
    <w:bookmarkEnd w:id="26"/>
    <w:bookmarkStart w:id="27" w:name="challenge-2-regulatory-complexity"/>
    <w:p>
      <w:pPr>
        <w:pStyle w:val="Heading3"/>
      </w:pPr>
      <w:r>
        <w:t xml:space="preserve">Challenge 2: Regulatory Complexity</w:t>
      </w:r>
    </w:p>
    <w:p>
      <w:pPr>
        <w:pStyle w:val="FirstParagraph"/>
      </w:pPr>
      <w:r>
        <w:rPr>
          <w:iCs/>
          <w:i/>
        </w:rPr>
        <w:t xml:space="preserve">Issue:</w:t>
      </w:r>
      <w:r>
        <w:t xml:space="preserve"> </w:t>
      </w:r>
      <w:r>
        <w:t xml:space="preserve">Inconsistent data handling requirements across Dubai government entities (DIFC vs. DTCM vs. ADGM) created compliance risks.</w:t>
      </w:r>
    </w:p>
    <w:p>
      <w:pPr>
        <w:pStyle w:val="BodyText"/>
      </w:pPr>
      <w:r>
        <w:rPr>
          <w:iCs/>
          <w:i/>
        </w:rPr>
        <w:t xml:space="preserve">Solution:</w:t>
      </w:r>
      <w:r>
        <w:t xml:space="preserve"> </w:t>
      </w:r>
      <w:r>
        <w:t xml:space="preserve">Engineering team developed a modular compliance framework with jurisdiction-specific configuration profiles. This eliminated 15+ hours of manual review per deal, making us the only vendor with 100% compliant proposals in Dubai's government tender process.</w:t>
      </w:r>
    </w:p>
    <w:bookmarkEnd w:id="27"/>
    <w:bookmarkEnd w:id="28"/>
    <w:bookmarkStart w:id="29" w:name="X2bab87c07f9f7a825c0ab111a016d369b8a5688"/>
    <w:p>
      <w:pPr>
        <w:pStyle w:val="Heading2"/>
      </w:pPr>
      <w:r>
        <w:t xml:space="preserve">VI. Future Roadmap: Engineering for Dubai's Sales Growth</w:t>
      </w:r>
    </w:p>
    <w:p>
      <w:pPr>
        <w:pStyle w:val="FirstParagraph"/>
      </w:pPr>
      <w:r>
        <w:t xml:space="preserve">Based on this successful Sales Report analysis, we recommend:</w:t>
      </w:r>
    </w:p>
    <w:p>
      <w:pPr>
        <w:numPr>
          <w:ilvl w:val="0"/>
          <w:numId w:val="1003"/>
        </w:numPr>
        <w:pStyle w:val="Compact"/>
      </w:pPr>
      <w:r>
        <w:rPr>
          <w:bCs/>
          <w:b/>
        </w:rPr>
        <w:t xml:space="preserve">Accelerate UAE-Specific Innovation:</w:t>
      </w:r>
      <w:r>
        <w:t xml:space="preserve"> </w:t>
      </w:r>
      <w:r>
        <w:t xml:space="preserve">Allocate 30% of engineering resources to Dubai-focused feature development (e.g., integrated Ramadan sales campaign modules)</w:t>
      </w:r>
    </w:p>
    <w:p>
      <w:pPr>
        <w:numPr>
          <w:ilvl w:val="0"/>
          <w:numId w:val="1003"/>
        </w:numPr>
        <w:pStyle w:val="Compact"/>
      </w:pPr>
      <w:r>
        <w:rPr>
          <w:bCs/>
          <w:b/>
        </w:rPr>
        <w:t xml:space="preserve">Cross-Functional Sales-Engineering Pods:</w:t>
      </w:r>
      <w:r>
        <w:t xml:space="preserve"> </w:t>
      </w:r>
      <w:r>
        <w:t xml:space="preserve">Implement embedded Software Engineer roles within each Dubai sales team to co-create solutions during client engagements</w:t>
      </w:r>
    </w:p>
    <w:p>
      <w:pPr>
        <w:numPr>
          <w:ilvl w:val="0"/>
          <w:numId w:val="1003"/>
        </w:numPr>
        <w:pStyle w:val="Compact"/>
      </w:pPr>
      <w:r>
        <w:rPr>
          <w:bCs/>
          <w:b/>
        </w:rPr>
        <w:t xml:space="preserve">Dubai Digital Twin Initiative:</w:t>
      </w:r>
      <w:r>
        <w:t xml:space="preserve"> </w:t>
      </w:r>
      <w:r>
        <w:t xml:space="preserve">Develop a virtual replica of Dubai's digital infrastructure for predictive sales simulations (target: 20% faster enterprise deal closure)</w:t>
      </w:r>
    </w:p>
    <w:p>
      <w:pPr>
        <w:numPr>
          <w:ilvl w:val="0"/>
          <w:numId w:val="1003"/>
        </w:numPr>
        <w:pStyle w:val="Compact"/>
      </w:pPr>
      <w:r>
        <w:rPr>
          <w:bCs/>
          <w:b/>
        </w:rPr>
        <w:t xml:space="preserve">Leverage AI for Personalization:</w:t>
      </w:r>
      <w:r>
        <w:t xml:space="preserve"> </w:t>
      </w:r>
      <w:r>
        <w:t xml:space="preserve">Build UAE-specific customer behavior models to enhance sales recommendations by 45% in Q1 2024</w:t>
      </w:r>
    </w:p>
    <w:bookmarkEnd w:id="29"/>
    <w:bookmarkStart w:id="30" w:name="X2ecc2ccdeed12f6b4553f5b6e28225893e84007"/>
    <w:p>
      <w:pPr>
        <w:pStyle w:val="Heading2"/>
      </w:pPr>
      <w:r>
        <w:t xml:space="preserve">VII. Conclusion: The Engineering-Sales Synergy in Dubai</w:t>
      </w:r>
    </w:p>
    <w:p>
      <w:pPr>
        <w:pStyle w:val="FirstParagraph"/>
      </w:pPr>
      <w:r>
        <w:t xml:space="preserve">This Sales Report unequivocally demonstrates that our Software Engineers are not merely technical support staff – they are strategic revenue generators within the United Arab Emirates Dubai ecosystem. In a market where 76% of enterprise buyers now prioritize technological differentiation over price, our engineering-led approach has become the cornerstone of our sales strategy. The Dubai market's rapid evolution demands continuous innovation, and this report confirms that when Software Engineers collaborate directly with sales teams to solve region-specific challenges, revenue outcomes transform dramatically.</w:t>
      </w:r>
    </w:p>
    <w:p>
      <w:pPr>
        <w:pStyle w:val="BodyText"/>
      </w:pPr>
      <w:r>
        <w:t xml:space="preserve">As we position for 2024 in Dubai – where the government has committed AED 50 billion toward digital transformation – we will deepen this engineering-sales integration. Our next milestone: achieving zero compliance-related sales delays across all UAE government contracts by Q3 2024. This Sales Report stands as testament to how technical excellence, when aligned with market-specific commercial strategy, creates unparalleled competitive advantage in the heart of the United Arab Emirates Dubai.</w:t>
      </w:r>
    </w:p>
    <w:p>
      <w:pPr>
        <w:pStyle w:val="BodyText"/>
      </w:pPr>
      <w:r>
        <w:rPr>
          <w:bCs/>
          <w:b/>
        </w:rPr>
        <w:t xml:space="preserve">Prepared By:</w:t>
      </w:r>
      <w:r>
        <w:t xml:space="preserve"> </w:t>
      </w:r>
      <w:r>
        <w:t xml:space="preserve">Global Sales &amp; Engineering Strategy Office</w:t>
      </w:r>
      <w:r>
        <w:br/>
      </w:r>
      <w:r>
        <w:rPr>
          <w:bCs/>
          <w:b/>
        </w:rPr>
        <w:t xml:space="preserve">Sign-Off:</w:t>
      </w:r>
      <w:r>
        <w:t xml:space="preserve"> </w:t>
      </w:r>
      <w:r>
        <w:t xml:space="preserve">CEO, Gulf Region Operations</w:t>
      </w:r>
      <w:r>
        <w:br/>
      </w:r>
      <w:r>
        <w:rPr>
          <w:bCs/>
          <w:b/>
        </w:rPr>
        <w:t xml:space="preserve">Dubai Office Address:</w:t>
      </w:r>
      <w:r>
        <w:t xml:space="preserve"> </w:t>
      </w:r>
      <w:r>
        <w:t xml:space="preserve">Level 25, Burj Khalifa, Downtown Dubai, United Arab Emirates</w:t>
      </w:r>
    </w:p>
    <w:p>
      <w:pPr>
        <w:pStyle w:val="BodyText"/>
      </w:pPr>
      <w:r>
        <w:rPr>
          <w:iCs/>
          <w:i/>
        </w:rPr>
        <w:t xml:space="preserve">This document represents proprietary sales intelligence for internal use only. Distribution requires written authorization from the Chief Commercial Officer.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Impact on Revenue Growth in Dubai, UAE</dc:title>
  <dc:creator/>
  <dc:language>en</dc:language>
  <cp:keywords/>
  <dcterms:created xsi:type="dcterms:W3CDTF">2026-07-23T06:22:38Z</dcterms:created>
  <dcterms:modified xsi:type="dcterms:W3CDTF">2026-07-23T06:22:38Z</dcterms:modified>
</cp:coreProperties>
</file>

<file path=docProps/custom.xml><?xml version="1.0" encoding="utf-8"?>
<Properties xmlns="http://schemas.openxmlformats.org/officeDocument/2006/custom-properties" xmlns:vt="http://schemas.openxmlformats.org/officeDocument/2006/docPropsVTypes"/>
</file>