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40f84a88af9c3a8911b45ac8f7cc443a635bf2a"/>
    <w:p>
      <w:pPr>
        <w:pStyle w:val="Heading1"/>
      </w:pPr>
      <w:r>
        <w:t xml:space="preserve">Q3 2024 Sales Report: Engineering Excellence Driving Revenue Growth in United States Miami</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Strategy Committee</w:t>
      </w:r>
      <w:r>
        <w:br/>
      </w:r>
      <w:r>
        <w:rPr>
          <w:bCs/>
          <w:b/>
        </w:rPr>
        <w:t xml:space="preserve">Location Focus:</w:t>
      </w:r>
      <w:r>
        <w:t xml:space="preserve"> </w:t>
      </w:r>
      <w:r>
        <w:t xml:space="preserve">United States Miami Technology Ecosystem</w:t>
      </w:r>
    </w:p>
    <w:bookmarkStart w:id="20" w:name="i.-executive-summary"/>
    <w:p>
      <w:pPr>
        <w:pStyle w:val="Heading2"/>
      </w:pPr>
      <w:r>
        <w:t xml:space="preserve">I. Executive Summary</w:t>
      </w:r>
    </w:p>
    <w:p>
      <w:pPr>
        <w:pStyle w:val="FirstParagraph"/>
      </w:pPr>
      <w:r>
        <w:t xml:space="preserve">This report details the critical intersection of engineering innovation and sales performance within our United States Miami operations during Q3 2024. As a strategic hub for technology expansion in the Southeastern U.S., the Miami-based Software Engineer team has directly contributed to a 19% year-over-year revenue increase across key enterprise accounts. The nexus of cutting-edge software development and localized sales execution—particularly within Miami's vibrant tech corridor—has proven indispensable to our market penetration strategy. This document underscores how engineering excellence translates into measurable commercial outcomes, reinforcing Miami as the operational nerve center for U.S. growth.</w:t>
      </w:r>
    </w:p>
    <w:bookmarkEnd w:id="20"/>
    <w:bookmarkStart w:id="21" w:name="X3f1e1657743a0f5c3dca2965bedb0d3298e35b2"/>
    <w:p>
      <w:pPr>
        <w:pStyle w:val="Heading2"/>
      </w:pPr>
      <w:r>
        <w:t xml:space="preserve">II. Engineering-Driven Sales Momentum in United States Miami</w:t>
      </w:r>
    </w:p>
    <w:p>
      <w:pPr>
        <w:pStyle w:val="FirstParagraph"/>
      </w:pPr>
      <w:r>
        <w:t xml:space="preserve">Miami’s unique position as a gateway to Latin America and the Caribbean has intensified demand for culturally adaptive software solutions. Our local Software Engineer team, operating from the newly established Downtown Miami innovation campus, developed three flagship features directly responsive to regional client requests:</w:t>
      </w:r>
    </w:p>
    <w:p>
      <w:pPr>
        <w:numPr>
          <w:ilvl w:val="0"/>
          <w:numId w:val="1001"/>
        </w:numPr>
        <w:pStyle w:val="Compact"/>
      </w:pPr>
      <w:r>
        <w:rPr>
          <w:bCs/>
          <w:b/>
        </w:rPr>
        <w:t xml:space="preserve">Localized Payment Gateway Integration:</w:t>
      </w:r>
      <w:r>
        <w:t xml:space="preserve"> </w:t>
      </w:r>
      <w:r>
        <w:t xml:space="preserve">Engineered support for 12+ Latin American currencies and payment methods (e.g., Mercado Pago, Boleto), accelerating sales cycles by 37% with new clients across Mexico, Colombia, and Brazil.</w:t>
      </w:r>
    </w:p>
    <w:p>
      <w:pPr>
        <w:numPr>
          <w:ilvl w:val="0"/>
          <w:numId w:val="1001"/>
        </w:numPr>
        <w:pStyle w:val="Compact"/>
      </w:pPr>
      <w:r>
        <w:rPr>
          <w:bCs/>
          <w:b/>
        </w:rPr>
        <w:t xml:space="preserve">Real-Time Multilingual Support:</w:t>
      </w:r>
      <w:r>
        <w:t xml:space="preserve"> </w:t>
      </w:r>
      <w:r>
        <w:t xml:space="preserve">A dynamic translation module deployed in Q2 reduced client onboarding friction for Spanish-Portuguese speaking enterprises by 52%, directly boosting our Miami-based sales team's conversion rate to 68% (vs. national average of 49%).</w:t>
      </w:r>
    </w:p>
    <w:p>
      <w:pPr>
        <w:numPr>
          <w:ilvl w:val="0"/>
          <w:numId w:val="1001"/>
        </w:numPr>
        <w:pStyle w:val="Compact"/>
      </w:pPr>
      <w:r>
        <w:rPr>
          <w:bCs/>
          <w:b/>
        </w:rPr>
        <w:t xml:space="preserve">Geo-Compliance Framework:</w:t>
      </w:r>
      <w:r>
        <w:t xml:space="preserve"> </w:t>
      </w:r>
      <w:r>
        <w:t xml:space="preserve">Engineered data sovereignty controls addressing LATAM GDPR-equivalent regulations, eliminating a critical barrier for enterprise deals in the United States Miami region.</w:t>
      </w:r>
    </w:p>
    <w:bookmarkEnd w:id="21"/>
    <w:bookmarkStart w:id="22" w:name="Xc709e3501a25b5e92dc5744a58ae1cb3c1bb73d"/>
    <w:p>
      <w:pPr>
        <w:pStyle w:val="Heading2"/>
      </w:pPr>
      <w:r>
        <w:t xml:space="preserve">III. Quantifiable Impact: Sales Metrics Driven by Software Engineering</w:t>
      </w:r>
    </w:p>
    <w:p>
      <w:pPr>
        <w:pStyle w:val="FirstParagraph"/>
      </w:pPr>
      <w:r>
        <w:t xml:space="preserve">KPI</w:t>
      </w:r>
    </w:p>
    <w:p>
      <w:pPr>
        <w:pStyle w:val="BodyText"/>
      </w:pPr>
      <w:r>
        <w:t xml:space="preserve">Miami Q3 2024</w:t>
      </w:r>
    </w:p>
    <w:p>
      <w:pPr>
        <w:pStyle w:val="BodyText"/>
      </w:pPr>
      <w:r>
        <w:t xml:space="preserve">National Average Q3 2024</w:t>
      </w:r>
    </w:p>
    <w:p>
      <w:pPr>
        <w:pStyle w:val="BodyText"/>
      </w:pPr>
      <w:r>
        <w:t xml:space="preserve">YoY Change (Miami)</w:t>
      </w:r>
    </w:p>
    <w:p>
      <w:pPr>
        <w:pStyle w:val="BodyText"/>
      </w:pPr>
      <w:r>
        <w:t xml:space="preserve">Enterprise Deal Velocity (Days to Close)</w:t>
      </w:r>
    </w:p>
    <w:p>
      <w:pPr>
        <w:pStyle w:val="BodyText"/>
      </w:pPr>
      <w:r>
        <w:t xml:space="preserve">18 days</w:t>
      </w:r>
    </w:p>
    <w:p>
      <w:pPr>
        <w:pStyle w:val="BodyText"/>
      </w:pPr>
      <w:r>
        <w:t xml:space="preserve">29 days</w:t>
      </w:r>
    </w:p>
    <w:p>
      <w:pPr>
        <w:pStyle w:val="BodyText"/>
      </w:pPr>
      <w:r>
        <w:t xml:space="preserve">-37%</w:t>
      </w:r>
    </w:p>
    <w:p>
      <w:pPr>
        <w:pStyle w:val="BodyText"/>
      </w:pPr>
      <w:r>
        <w:t xml:space="preserve">New Client Acquisition (Latin America Focus)</w:t>
      </w:r>
    </w:p>
    <w:p>
      <w:pPr>
        <w:pStyle w:val="BodyText"/>
      </w:pPr>
      <w:r>
        <w:t xml:space="preserve">42 contracts ($8.7M ARR)</w:t>
      </w:r>
    </w:p>
    <w:p>
      <w:pPr>
        <w:pStyle w:val="BodyText"/>
      </w:pPr>
      <w:r>
        <w:t xml:space="preserve">19 contracts ($4.1M ARR)</w:t>
      </w:r>
    </w:p>
    <w:p>
      <w:pPr>
        <w:pStyle w:val="BodyText"/>
      </w:pPr>
      <w:r>
        <w:t xml:space="preserve">121% increase</w:t>
      </w:r>
    </w:p>
    <w:p>
      <w:pPr>
        <w:pStyle w:val="BodyText"/>
      </w:pPr>
      <w:r>
        <w:t xml:space="preserve">94%</w:t>
      </w:r>
    </w:p>
    <w:p>
      <w:pPr>
        <w:pStyle w:val="BodyText"/>
      </w:pPr>
      <w:r>
        <w:t xml:space="preserve">87%</w:t>
      </w:r>
    </w:p>
    <w:p>
      <w:pPr>
        <w:pStyle w:val="BodyText"/>
      </w:pPr>
      <w:r>
        <w:t xml:space="preserve">+7 points</w:t>
      </w:r>
    </w:p>
    <w:p>
      <w:pPr>
        <w:pStyle w:val="BodyText"/>
      </w:pPr>
      <w:r>
        <w:t xml:space="preserve">Total Revenue Contribution</w:t>
      </w:r>
    </w:p>
    <w:p>
      <w:pPr>
        <w:pStyle w:val="BodyText"/>
      </w:pPr>
      <w:r>
        <w:rPr>
          <w:bCs/>
          <w:b/>
        </w:rPr>
        <w:t xml:space="preserve">$23.1M</w:t>
      </w:r>
    </w:p>
    <w:p>
      <w:pPr>
        <w:pStyle w:val="BodyText"/>
      </w:pPr>
      <w:r>
        <w:t xml:space="preserve">$14.8M</w:t>
      </w:r>
    </w:p>
    <w:p>
      <w:pPr>
        <w:pStyle w:val="BodyText"/>
      </w:pPr>
      <w:r>
        <w:rPr>
          <w:bCs/>
          <w:b/>
        </w:rPr>
        <w:t xml:space="preserve">56% of U.S. Total</w:t>
      </w:r>
    </w:p>
    <w:p>
      <w:pPr>
        <w:pStyle w:val="BodyText"/>
      </w:pPr>
      <w:r>
        <w:t xml:space="preserve">These results demonstrate that the United States Miami Software Engineer team is not merely a support function but a revenue engine. The 56% contribution to total U.S. revenue (up from 42% in Q3 2023) validates our strategic investment in localized engineering talent as central to our sales success.</w:t>
      </w:r>
    </w:p>
    <w:bookmarkEnd w:id="22"/>
    <w:bookmarkStart w:id="23" w:name="iv.-miami-specific-strategic-advantages"/>
    <w:p>
      <w:pPr>
        <w:pStyle w:val="Heading2"/>
      </w:pPr>
      <w:r>
        <w:t xml:space="preserve">IV. Miami-Specific Strategic Advantages</w:t>
      </w:r>
    </w:p>
    <w:p>
      <w:pPr>
        <w:pStyle w:val="FirstParagraph"/>
      </w:pPr>
      <w:r>
        <w:t xml:space="preserve">The United States Miami market presents unique opportunities leveraged by our on-site Software Engineer workforce:</w:t>
      </w:r>
    </w:p>
    <w:p>
      <w:pPr>
        <w:numPr>
          <w:ilvl w:val="0"/>
          <w:numId w:val="1002"/>
        </w:numPr>
        <w:pStyle w:val="Compact"/>
      </w:pPr>
      <w:r>
        <w:rPr>
          <w:bCs/>
          <w:b/>
        </w:rPr>
        <w:t xml:space="preserve">Talent Pipeline Synergy:</w:t>
      </w:r>
      <w:r>
        <w:t xml:space="preserve"> </w:t>
      </w:r>
      <w:r>
        <w:t xml:space="preserve">Proximity to University of Miami, FIU, and Florida International University enables rapid hiring of bilingual engineers fluent in both technical and regional business contexts. 73% of new hires joined from local campuses.</w:t>
      </w:r>
    </w:p>
    <w:p>
      <w:pPr>
        <w:numPr>
          <w:ilvl w:val="0"/>
          <w:numId w:val="1002"/>
        </w:numPr>
        <w:pStyle w:val="Compact"/>
      </w:pPr>
      <w:r>
        <w:rPr>
          <w:bCs/>
          <w:b/>
        </w:rPr>
        <w:t xml:space="preserve">Time-Zone Advantage:</w:t>
      </w:r>
      <w:r>
        <w:t xml:space="preserve"> </w:t>
      </w:r>
      <w:r>
        <w:t xml:space="preserve">The 3-hour offset with LATAM markets allows for same-day engineering support during client working hours, accelerating issue resolution by 65% versus remote teams.</w:t>
      </w:r>
    </w:p>
    <w:p>
      <w:pPr>
        <w:numPr>
          <w:ilvl w:val="0"/>
          <w:numId w:val="1002"/>
        </w:numPr>
        <w:pStyle w:val="Compact"/>
      </w:pPr>
      <w:r>
        <w:rPr>
          <w:bCs/>
          <w:b/>
        </w:rPr>
        <w:t xml:space="preserve">Cultural Intelligence:</w:t>
      </w:r>
      <w:r>
        <w:t xml:space="preserve"> </w:t>
      </w:r>
      <w:r>
        <w:t xml:space="preserve">Miami-based engineers co-design solutions with sales teams using real-time feedback from local client interactions (e.g., adapting UI/UX for Caribbean business norms), reducing feature rework costs by $1.2M annually.</w:t>
      </w:r>
    </w:p>
    <w:bookmarkEnd w:id="23"/>
    <w:bookmarkStart w:id="24" w:name="v.-challenges-and-strategic-response"/>
    <w:p>
      <w:pPr>
        <w:pStyle w:val="Heading2"/>
      </w:pPr>
      <w:r>
        <w:t xml:space="preserve">V. Challenges and Strategic Response</w:t>
      </w:r>
    </w:p>
    <w:p>
      <w:pPr>
        <w:pStyle w:val="FirstParagraph"/>
      </w:pPr>
      <w:r>
        <w:t xml:space="preserve">Despite success, Miami’s competitive talent market presented hurdles:</w:t>
      </w:r>
    </w:p>
    <w:p>
      <w:pPr>
        <w:numPr>
          <w:ilvl w:val="0"/>
          <w:numId w:val="1003"/>
        </w:numPr>
        <w:pStyle w:val="Compact"/>
      </w:pPr>
      <w:r>
        <w:rPr>
          <w:iCs/>
          <w:i/>
        </w:rPr>
        <w:t xml:space="preserve">Challenge:</w:t>
      </w:r>
      <w:r>
        <w:t xml:space="preserve"> </w:t>
      </w:r>
      <w:r>
        <w:t xml:space="preserve">31% salary premium required for top-tier Software Engineers vs. national averages to retain talent in Miami’s high-cost environment.</w:t>
      </w:r>
    </w:p>
    <w:p>
      <w:pPr>
        <w:numPr>
          <w:ilvl w:val="0"/>
          <w:numId w:val="1003"/>
        </w:numPr>
        <w:pStyle w:val="Compact"/>
      </w:pPr>
      <w:r>
        <w:rPr>
          <w:iCs/>
          <w:i/>
        </w:rPr>
        <w:t xml:space="preserve">Response:</w:t>
      </w:r>
      <w:r>
        <w:t xml:space="preserve"> </w:t>
      </w:r>
      <w:r>
        <w:t xml:space="preserve">Implemented a "Sales Impact Bonus" structure where 25% of annual engineering bonuses are tied to revenue metrics directly influenced by their work (e.g., new features closing deals). This increased retention by 18% and aligned engineering incentives with sales outcomes.</w:t>
      </w:r>
    </w:p>
    <w:bookmarkEnd w:id="24"/>
    <w:bookmarkStart w:id="25" w:name="X893a1de9df078c7fce2b4e4bd6ccf73eff2d6db"/>
    <w:p>
      <w:pPr>
        <w:pStyle w:val="Heading2"/>
      </w:pPr>
      <w:r>
        <w:t xml:space="preserve">VI. Future Roadmap: Engineering for Miami’s Sales Expansion</w:t>
      </w:r>
    </w:p>
    <w:p>
      <w:pPr>
        <w:pStyle w:val="FirstParagraph"/>
      </w:pPr>
      <w:r>
        <w:t xml:space="preserve">To sustain momentum in the United States Miami ecosystem, we’re prioritizing:</w:t>
      </w:r>
    </w:p>
    <w:p>
      <w:pPr>
        <w:numPr>
          <w:ilvl w:val="0"/>
          <w:numId w:val="1004"/>
        </w:numPr>
        <w:pStyle w:val="Compact"/>
      </w:pPr>
      <w:r>
        <w:rPr>
          <w:bCs/>
          <w:b/>
        </w:rPr>
        <w:t xml:space="preserve">AI-Powered Sales Enablement:</w:t>
      </w:r>
      <w:r>
        <w:t xml:space="preserve"> </w:t>
      </w:r>
      <w:r>
        <w:t xml:space="preserve">Deploying predictive analytics models (built by our Miami team) to identify high-potential leads. Projected to increase sales pipeline velocity by 22% by Q1 2025.</w:t>
      </w:r>
    </w:p>
    <w:p>
      <w:pPr>
        <w:numPr>
          <w:ilvl w:val="0"/>
          <w:numId w:val="1004"/>
        </w:numPr>
        <w:pStyle w:val="Compact"/>
      </w:pPr>
      <w:r>
        <w:rPr>
          <w:bCs/>
          <w:b/>
        </w:rPr>
        <w:t xml:space="preserve">LATAM Market Expansion Fund:</w:t>
      </w:r>
      <w:r>
        <w:t xml:space="preserve"> </w:t>
      </w:r>
      <w:r>
        <w:t xml:space="preserve">Allocating $450K from engineering budget to develop region-specific modules for Brazil, Argentina, and Peru—directly supporting our Miami-based sales team’s regional growth targets.</w:t>
      </w:r>
    </w:p>
    <w:p>
      <w:pPr>
        <w:numPr>
          <w:ilvl w:val="0"/>
          <w:numId w:val="1004"/>
        </w:numPr>
        <w:pStyle w:val="Compact"/>
      </w:pPr>
      <w:r>
        <w:rPr>
          <w:bCs/>
          <w:b/>
        </w:rPr>
        <w:t xml:space="preserve">Miami Tech Ecosystem Partnerships:</w:t>
      </w:r>
      <w:r>
        <w:t xml:space="preserve"> </w:t>
      </w:r>
      <w:r>
        <w:t xml:space="preserve">Formalizing collaborations with Miami Tech Hub and WeWork Labs to co-host quarterly "Engineering-Sales Innovation Sprints" (e.g., upcoming event: "Building for the Caribbean Market").</w:t>
      </w:r>
    </w:p>
    <w:bookmarkEnd w:id="25"/>
    <w:bookmarkStart w:id="26" w:name="X18ae9c865f8a392e696c5ef9ee2440e3280326a"/>
    <w:p>
      <w:pPr>
        <w:pStyle w:val="Heading2"/>
      </w:pPr>
      <w:r>
        <w:t xml:space="preserve">VII. Conclusion: Engineering as a Sales Catalyst in United States Miami</w:t>
      </w:r>
    </w:p>
    <w:p>
      <w:pPr>
        <w:pStyle w:val="FirstParagraph"/>
      </w:pPr>
      <w:r>
        <w:t xml:space="preserve">The Q3 2024 results unequivocally prove that strategic investment in Software Engineer talent within the United States Miami market delivers outsized sales returns. Our engineering team’s hyper-localized innovation—addressing linguistic, regulatory, and cultural nuances—has transformed technical delivery into a competitive differentiator. As we advance toward our $100M U.S. revenue target for 2025, Miami’s Software Engineer corps will remain the cornerstone of our commercial strategy. This report confirms that in the United States Miami ecosystem, engineering excellence doesn't just support sales—it drives them.</w:t>
      </w:r>
    </w:p>
    <w:p>
      <w:pPr>
        <w:pStyle w:val="BodyText"/>
      </w:pPr>
      <w:r>
        <w:rPr>
          <w:iCs/>
          <w:i/>
        </w:rPr>
        <w:t xml:space="preserve">Prepared by: Global Sales &amp; Engineering Strategy Team</w:t>
      </w:r>
      <w:r>
        <w:br/>
      </w:r>
      <w:r>
        <w:rPr>
          <w:iCs/>
          <w:i/>
        </w:rPr>
        <w:t xml:space="preserve">Contact: strategic.report@company.com | Miami Office: (305)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Impact in United States Miami</dc:title>
  <dc:creator/>
  <dc:language>en</dc:language>
  <cp:keywords/>
  <dcterms:created xsi:type="dcterms:W3CDTF">2026-07-22T16:39:43Z</dcterms:created>
  <dcterms:modified xsi:type="dcterms:W3CDTF">2026-07-22T16:39:43Z</dcterms:modified>
</cp:coreProperties>
</file>

<file path=docProps/custom.xml><?xml version="1.0" encoding="utf-8"?>
<Properties xmlns="http://schemas.openxmlformats.org/officeDocument/2006/custom-properties" xmlns:vt="http://schemas.openxmlformats.org/officeDocument/2006/docPropsVTypes"/>
</file>