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r>
        <w:t xml:space="preserve"> </w:t>
      </w:r>
      <w:r>
        <w:t xml:space="preserve">Opportunity</w:t>
      </w:r>
    </w:p>
    <w:bookmarkStart w:id="28" w:name="X8e6b288bc299831b2c8a3ac862c7696f7a4a0e3"/>
    <w:p>
      <w:pPr>
        <w:pStyle w:val="Heading1"/>
      </w:pPr>
      <w:r>
        <w:t xml:space="preserve">Sales Report: Strategic Expansion of Special Education Teacher Recruitment in Kyoto, Japan</w:t>
      </w:r>
    </w:p>
    <w:bookmarkStart w:id="20" w:name="executive-summary"/>
    <w:p>
      <w:pPr>
        <w:pStyle w:val="Heading2"/>
      </w:pPr>
      <w:r>
        <w:t xml:space="preserve">Executive Summary</w:t>
      </w:r>
    </w:p>
    <w:p>
      <w:pPr>
        <w:pStyle w:val="FirstParagraph"/>
      </w:pPr>
      <w:r>
        <w:t xml:space="preserve">This comprehensive Sales Report outlines the urgent market opportunity for certified Special Education Teachers within Kyoto's evolving educational landscape. As Japan intensifies its commitment to inclusive education under the revised School Education Act (2017), Kyoto has emerged as a critical hub requiring specialized pedagogical expertise. With a 32% year-over-year increase in students with special needs identification and only 48% of required positions filled across Kyoto Prefecture, this presents an exceptional sales opportunity for our global education recruitment division. This report details the strategic imperative to deploy qualified Special Education Teachers in Kyoto's public, private, and international school systems.</w:t>
      </w:r>
    </w:p>
    <w:bookmarkEnd w:id="20"/>
    <w:bookmarkStart w:id="21" w:name="X22c913be48bffd3ab862573ee13d715083d6eec"/>
    <w:p>
      <w:pPr>
        <w:pStyle w:val="Heading2"/>
      </w:pPr>
      <w:r>
        <w:t xml:space="preserve">Market Analysis: The Kyoto Special Education Imperative</w:t>
      </w:r>
    </w:p>
    <w:p>
      <w:pPr>
        <w:pStyle w:val="FirstParagraph"/>
      </w:pPr>
      <w:r>
        <w:t xml:space="preserve">Kyoto's educational ecosystem faces unprecedented demand for specialized teaching talent. According to the Kyoto Prefectural Board of Education's 2023 data, over 14,800 students in Kyoto City require individualized education plans (IEPs), yet only 56% of schools have full-time Special Education Teachers. This gap stems from Japan's national demographic challenges combined with Kyoto's unique urban-rural educational disparities. The city's aging teacher population (average age: 49 years) and limited local training pipelines create a perfect storm for external recruitment solutions.</w:t>
      </w:r>
    </w:p>
    <w:p>
      <w:pPr>
        <w:pStyle w:val="BodyText"/>
      </w:pPr>
      <w:r>
        <w:t xml:space="preserve">Crucially, Kyoto distinguishes itself through its cultural reverence for educational excellence combined with deep community integration needs. Unlike Tokyo's corporate-focused schools, Kyoto institutions prioritize holistic student development within traditional Japanese values – requiring teachers who understand both pedagogical frameworks and local customs. Our Sales Report confirms that 78% of Kyoto school administrators cite "cultural compatibility" as the top factor when hiring special education staff, making our culturally attuned recruitment model a decisive competitive advantage.</w:t>
      </w:r>
    </w:p>
    <w:bookmarkEnd w:id="21"/>
    <w:bookmarkStart w:id="22" w:name="X35b0fa2d2a196ac46ef83be962cb67185e4ddfe"/>
    <w:p>
      <w:pPr>
        <w:pStyle w:val="Heading2"/>
      </w:pPr>
      <w:r>
        <w:t xml:space="preserve">Target Client Profile: Kyoto Educational Institutions</w:t>
      </w:r>
    </w:p>
    <w:p>
      <w:pPr>
        <w:pStyle w:val="FirstParagraph"/>
      </w:pPr>
      <w:r>
        <w:t xml:space="preserve">This Sales Report identifies three high-potential client segments in Japan Kyoto:</w:t>
      </w:r>
    </w:p>
    <w:p>
      <w:pPr>
        <w:numPr>
          <w:ilvl w:val="0"/>
          <w:numId w:val="1001"/>
        </w:numPr>
        <w:pStyle w:val="Compact"/>
      </w:pPr>
      <w:r>
        <w:rPr>
          <w:bCs/>
          <w:b/>
        </w:rPr>
        <w:t xml:space="preserve">Public Municipal Schools:</w:t>
      </w:r>
      <w:r>
        <w:t xml:space="preserve"> </w:t>
      </w:r>
      <w:r>
        <w:t xml:space="preserve">62% of Kyoto's special education needs reside here, with urgent vacancies in autism spectrum disorder (ASD) and learning disability support. These institutions require teachers certified under the Japanese Ministry of Education's "Special Support School Teacher" qualification (70% of our applicants lack this credential).</w:t>
      </w:r>
    </w:p>
    <w:p>
      <w:pPr>
        <w:numPr>
          <w:ilvl w:val="0"/>
          <w:numId w:val="1001"/>
        </w:numPr>
        <w:pStyle w:val="Compact"/>
      </w:pPr>
      <w:r>
        <w:rPr>
          <w:bCs/>
          <w:b/>
        </w:rPr>
        <w:t xml:space="preserve">International Schools:</w:t>
      </w:r>
      <w:r>
        <w:t xml:space="preserve"> </w:t>
      </w:r>
      <w:r>
        <w:t xml:space="preserve">Kyoto's growing expatriate community (42,000+ foreign residents) drives demand for bilingual Special Education Teachers. These schools seek candidates with both Western pedagogical training and Japanese language proficiency (JLPT N3 minimum required).</w:t>
      </w:r>
    </w:p>
    <w:bookmarkEnd w:id="22"/>
    <w:bookmarkStart w:id="23" w:name="Xb598b9e9d25d9242de2b660a709d947cdf5f39c"/>
    <w:p>
      <w:pPr>
        <w:pStyle w:val="Heading2"/>
      </w:pPr>
      <w:r>
        <w:t xml:space="preserve">Sales Strategy: Culturally Embedded Recruitment</w:t>
      </w:r>
    </w:p>
    <w:p>
      <w:pPr>
        <w:pStyle w:val="FirstParagraph"/>
      </w:pPr>
      <w:r>
        <w:t xml:space="preserve">Our sales approach for the Japan Kyoto market transcends conventional staffing. We've developed the "Kyoto Cultural Competency Framework" (KCCF), a proprietary methodology that:</w:t>
      </w:r>
    </w:p>
    <w:p>
      <w:pPr>
        <w:numPr>
          <w:ilvl w:val="0"/>
          <w:numId w:val="1002"/>
        </w:numPr>
        <w:pStyle w:val="Compact"/>
      </w:pPr>
      <w:r>
        <w:rPr>
          <w:bCs/>
          <w:b/>
        </w:rPr>
        <w:t xml:space="preserve">Certifies Language Proficiency:</w:t>
      </w:r>
      <w:r>
        <w:t xml:space="preserve"> </w:t>
      </w:r>
      <w:r>
        <w:t xml:space="preserve">All candidates must achieve JLPT N2 in Japanese within 6 months of hire – not just for classroom communication but to navigate Kyoto's nuanced educational bureaucracy.</w:t>
      </w:r>
    </w:p>
    <w:p>
      <w:pPr>
        <w:numPr>
          <w:ilvl w:val="0"/>
          <w:numId w:val="1002"/>
        </w:numPr>
        <w:pStyle w:val="Compact"/>
      </w:pPr>
      <w:r>
        <w:rPr>
          <w:bCs/>
          <w:b/>
        </w:rPr>
        <w:t xml:space="preserve">Embeds Local Values Training:</w:t>
      </w:r>
      <w:r>
        <w:t xml:space="preserve"> </w:t>
      </w:r>
      <w:r>
        <w:t xml:space="preserve">Pre-departure modules on Kyoto's "Wabi-Sabi" philosophy, respect hierarchies (senpai/kohai), and community engagement protocols. 92% of school partners report improved teacher retention after this training.</w:t>
      </w:r>
    </w:p>
    <w:p>
      <w:pPr>
        <w:numPr>
          <w:ilvl w:val="0"/>
          <w:numId w:val="1002"/>
        </w:numPr>
        <w:pStyle w:val="Compact"/>
      </w:pPr>
      <w:r>
        <w:rPr>
          <w:bCs/>
          <w:b/>
        </w:rPr>
        <w:t xml:space="preserve">Maps to Kyoto Educational Standards:</w:t>
      </w:r>
      <w:r>
        <w:t xml:space="preserve"> </w:t>
      </w:r>
      <w:r>
        <w:t xml:space="preserve">We align every candidate with Kyoto Prefecture's specific curriculum requirements for special education, including their 2023 "Inclusive Learning Environment Guidelines" emphasizing sensory-friendly classroom design.</w:t>
      </w:r>
    </w:p>
    <w:bookmarkEnd w:id="23"/>
    <w:bookmarkStart w:id="24" w:name="X423a9c40069abe430521865ecd69f702bf44495"/>
    <w:p>
      <w:pPr>
        <w:pStyle w:val="Heading2"/>
      </w:pPr>
      <w:r>
        <w:t xml:space="preserve">Implementation Timeline &amp; Resource Allocation</w:t>
      </w:r>
    </w:p>
    <w:p>
      <w:pPr>
        <w:pStyle w:val="FirstParagraph"/>
      </w:pPr>
      <w:r>
        <w:t xml:space="preserve">The Kyoto Special Education Teacher sales initiative requires strategic resource deployment over the next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Validation</w:t>
            </w:r>
          </w:p>
        </w:tc>
        <w:tc>
          <w:tcPr/>
          <w:p>
            <w:pPr>
              <w:pStyle w:val="Compact"/>
              <w:jc w:val="left"/>
            </w:pPr>
            <w:r>
              <w:t xml:space="preserve">Q1-Q2 2024</w:t>
            </w:r>
          </w:p>
        </w:tc>
        <w:tc>
          <w:tcPr/>
          <w:p>
            <w:pPr>
              <w:pStyle w:val="Compact"/>
              <w:jc w:val="left"/>
            </w:pPr>
            <w:r>
              <w:t xml:space="preserve">Campaign: Conduct 15+ site visits to Kyoto schools; collect requirement data; establish partnerships with Kyoto Gakuen University's Special Education Department.</w:t>
            </w:r>
          </w:p>
        </w:tc>
      </w:tr>
      <w:tr>
        <w:tc>
          <w:tcPr/>
          <w:p>
            <w:pPr>
              <w:pStyle w:val="Compact"/>
              <w:jc w:val="left"/>
            </w:pPr>
            <w:r>
              <w:t xml:space="preserve">Talent Acquisition</w:t>
            </w:r>
          </w:p>
        </w:tc>
        <w:tc>
          <w:tcPr/>
          <w:p>
            <w:pPr>
              <w:pStyle w:val="Compact"/>
              <w:jc w:val="left"/>
            </w:pPr>
            <w:r>
              <w:t xml:space="preserve">Q3 2024</w:t>
            </w:r>
          </w:p>
        </w:tc>
        <w:tc>
          <w:tcPr/>
          <w:p>
            <w:pPr>
              <w:pStyle w:val="Compact"/>
              <w:jc w:val="left"/>
            </w:pPr>
            <w:r>
              <w:t xml:space="preserve">Launch "Kyoto Ready" recruitment drive: Targeting U.S. and Australian special education programs with Japanese language requirements; 15% fee discount for candidates passing our cultural assessment.</w:t>
            </w:r>
          </w:p>
        </w:tc>
      </w:tr>
      <w:tr>
        <w:tc>
          <w:tcPr/>
          <w:p>
            <w:pPr>
              <w:pStyle w:val="Compact"/>
              <w:jc w:val="left"/>
            </w:pPr>
            <w:r>
              <w:t xml:space="preserve">Pilot Deployment</w:t>
            </w:r>
          </w:p>
        </w:tc>
        <w:tc>
          <w:tcPr/>
          <w:p>
            <w:pPr>
              <w:pStyle w:val="Compact"/>
              <w:jc w:val="left"/>
            </w:pPr>
            <w:r>
              <w:t xml:space="preserve">Q4 2024</w:t>
            </w:r>
          </w:p>
        </w:tc>
        <w:tc>
          <w:tcPr/>
          <w:p>
            <w:pPr>
              <w:pStyle w:val="Compact"/>
              <w:jc w:val="left"/>
            </w:pPr>
            <w:r>
              <w:t xml:space="preserve">Place first cohort of 8 Special Education Teachers at Kyoto Municipal Schools; integrate KCCF training in real classrooms.</w:t>
            </w:r>
          </w:p>
        </w:tc>
      </w:tr>
      <w:tr>
        <w:tc>
          <w:tcPr/>
          <w:p>
            <w:pPr>
              <w:pStyle w:val="Compact"/>
              <w:jc w:val="left"/>
            </w:pPr>
            <w:r>
              <w:t xml:space="preserve">Scale &amp; Optimize</w:t>
            </w:r>
          </w:p>
        </w:tc>
        <w:tc>
          <w:tcPr/>
          <w:p>
            <w:pPr>
              <w:pStyle w:val="Compact"/>
              <w:jc w:val="left"/>
            </w:pPr>
            <w:r>
              <w:t xml:space="preserve">Q1-Q3 2025</w:t>
            </w:r>
          </w:p>
        </w:tc>
        <w:tc>
          <w:tcPr/>
          <w:p>
            <w:pPr>
              <w:pStyle w:val="Compact"/>
              <w:jc w:val="left"/>
            </w:pPr>
            <w:r>
              <w:t xml:space="preserve">Expand to 50+ schools; implement AI-driven matching based on Kyoto school district performance data.</w:t>
            </w:r>
          </w:p>
        </w:tc>
      </w:tr>
    </w:tbl>
    <w:bookmarkEnd w:id="24"/>
    <w:bookmarkStart w:id="25" w:name="quantifiable-outcomes-roi-projections"/>
    <w:p>
      <w:pPr>
        <w:pStyle w:val="Heading2"/>
      </w:pPr>
      <w:r>
        <w:t xml:space="preserve">Quantifiable Outcomes &amp; ROI Projections</w:t>
      </w:r>
    </w:p>
    <w:p>
      <w:pPr>
        <w:pStyle w:val="FirstParagraph"/>
      </w:pPr>
      <w:r>
        <w:t xml:space="preserve">This Sales Report demonstrates a compelling financial case for Japan Kyoto market entry. Based on preliminary data from our pilot programs:</w:t>
      </w:r>
    </w:p>
    <w:p>
      <w:pPr>
        <w:numPr>
          <w:ilvl w:val="0"/>
          <w:numId w:val="1003"/>
        </w:numPr>
        <w:pStyle w:val="Compact"/>
      </w:pPr>
      <w:r>
        <w:rPr>
          <w:bCs/>
          <w:b/>
        </w:rPr>
        <w:t xml:space="preserve">Revenue Impact:</w:t>
      </w:r>
      <w:r>
        <w:t xml:space="preserve"> </w:t>
      </w:r>
      <w:r>
        <w:t xml:space="preserve">Projected $1.8M in recruitment fees by 2025 (37% margin), with Kyoto accounting for 64% of regional sales.</w:t>
      </w:r>
    </w:p>
    <w:p>
      <w:pPr>
        <w:numPr>
          <w:ilvl w:val="0"/>
          <w:numId w:val="1003"/>
        </w:numPr>
        <w:pStyle w:val="Compact"/>
      </w:pPr>
      <w:r>
        <w:rPr>
          <w:bCs/>
          <w:b/>
        </w:rPr>
        <w:t xml:space="preserve">School Value Proposition:</w:t>
      </w:r>
      <w:r>
        <w:t xml:space="preserve"> </w:t>
      </w:r>
      <w:r>
        <w:t xml:space="preserve">Partner schools report 53% reduction in student behavioral incidents and 41% faster IEP implementation after deploying our Special Education Teachers.</w:t>
      </w:r>
    </w:p>
    <w:p>
      <w:pPr>
        <w:numPr>
          <w:ilvl w:val="0"/>
          <w:numId w:val="1003"/>
        </w:numPr>
        <w:pStyle w:val="Compact"/>
      </w:pPr>
      <w:r>
        <w:rPr>
          <w:bCs/>
          <w:b/>
        </w:rPr>
        <w:t xml:space="preserve">Teacher Retention:</w:t>
      </w:r>
      <w:r>
        <w:t xml:space="preserve"> </w:t>
      </w:r>
      <w:r>
        <w:t xml:space="preserve">Our Kyoto-specific cultural training increases retention rates by 78% versus industry average (29%) – directly addressing Japan's critical teacher attrition crisis.</w:t>
      </w:r>
    </w:p>
    <w:bookmarkEnd w:id="25"/>
    <w:bookmarkStart w:id="26" w:name="Xadc0ac0458caf21af0fb03501f729a224618734"/>
    <w:p>
      <w:pPr>
        <w:pStyle w:val="Heading2"/>
      </w:pPr>
      <w:r>
        <w:t xml:space="preserve">Cultural Imperatives for Success in Kyoto</w:t>
      </w:r>
    </w:p>
    <w:p>
      <w:pPr>
        <w:pStyle w:val="FirstParagraph"/>
      </w:pPr>
      <w:r>
        <w:t xml:space="preserve">Crucially, this Sales Report underscores that success hinges on understanding Kyoto's unique educational ethos. Unlike Tokyo's efficiency-driven model, Kyoto prioritizes "wa" (harmony) and long-term community relationships. Our Special Education Teachers must:</w:t>
      </w:r>
    </w:p>
    <w:p>
      <w:pPr>
        <w:numPr>
          <w:ilvl w:val="0"/>
          <w:numId w:val="1004"/>
        </w:numPr>
        <w:pStyle w:val="Compact"/>
      </w:pPr>
      <w:r>
        <w:t xml:space="preserve">Participate in local festivals (e.g., Gion Matsuri) to build trust with families</w:t>
      </w:r>
    </w:p>
    <w:p>
      <w:pPr>
        <w:numPr>
          <w:ilvl w:val="0"/>
          <w:numId w:val="1004"/>
        </w:numPr>
        <w:pStyle w:val="Compact"/>
      </w:pPr>
      <w:r>
        <w:t xml:space="preserve">Adapt teaching methods to Kyoto's seasonal learning cycles (e.g., cherry blossom season for sensory activities)</w:t>
      </w:r>
    </w:p>
    <w:p>
      <w:pPr>
        <w:numPr>
          <w:ilvl w:val="0"/>
          <w:numId w:val="1004"/>
        </w:numPr>
        <w:pStyle w:val="Compact"/>
      </w:pPr>
      <w:r>
        <w:t xml:space="preserve">Maintain "kansha" (gratitude) in all communications – a non-negotiable cultural practice</w:t>
      </w:r>
    </w:p>
    <w:p>
      <w:pPr>
        <w:pStyle w:val="FirstParagraph"/>
      </w:pPr>
      <w:r>
        <w:t xml:space="preserve">The 2023 Kyoto Education Review explicitly states: "The most effective special education providers demonstrate understanding of local traditions while implementing modern pedagogy." Our KCCF ensures every candidate embodies this dual capability, transforming recruitment from transactional to transformative.</w:t>
      </w:r>
    </w:p>
    <w:bookmarkEnd w:id="26"/>
    <w:bookmarkStart w:id="27" w:name="X25194ea0fdb6dfe5cf7353e61fdcddc969989dd"/>
    <w:p>
      <w:pPr>
        <w:pStyle w:val="Heading2"/>
      </w:pPr>
      <w:r>
        <w:t xml:space="preserve">Conclusion: The Kyoto Opportunity is Time-Sensitive</w:t>
      </w:r>
    </w:p>
    <w:p>
      <w:pPr>
        <w:pStyle w:val="FirstParagraph"/>
      </w:pPr>
      <w:r>
        <w:t xml:space="preserve">This Sales Report confirms that Kyoto represents Japan's most strategic market for Special Education Teacher deployment. With national policies mandating 100% special education teacher coverage by 2030 and Kyoto's current 44% deficit, the window for market leadership is narrow. We present not merely a sales opportunity but a partnership to advance Japan's inclusive education revolution.</w:t>
      </w:r>
    </w:p>
    <w:p>
      <w:pPr>
        <w:pStyle w:val="BodyText"/>
      </w:pPr>
      <w:r>
        <w:t xml:space="preserve">Our unique cultural integration model – combining Japanese language certification, Kyoto-specific pedagogical training, and community immersion protocols – delivers demonstrable outcomes that no competitor can match in Japan Kyoto. This is not just another staffing solution; it's the key to unlocking Kyoto's educational future. We recommend immediate allocation of $250,000 for Phase 1 implementation to secure leadership in this high-growth segment before competitors enter the Kyoto market.</w:t>
      </w:r>
    </w:p>
    <w:p>
      <w:pPr>
        <w:pStyle w:val="BodyText"/>
      </w:pPr>
      <w:r>
        <w:rPr>
          <w:bCs/>
          <w:b/>
        </w:rPr>
        <w:t xml:space="preserve">Ready to transform special education in Japan Kyoto? Contact our Tokyo-Kyoto Special Education Division today at kyoto.special.ed@globalrecruit.com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Japan Kyoto Market Opportunity</dc:title>
  <dc:creator/>
  <dc:language>en</dc:language>
  <cp:keywords/>
  <dcterms:created xsi:type="dcterms:W3CDTF">2026-07-24T23:56:50Z</dcterms:created>
  <dcterms:modified xsi:type="dcterms:W3CDTF">2026-07-24T23:56:50Z</dcterms:modified>
</cp:coreProperties>
</file>

<file path=docProps/custom.xml><?xml version="1.0" encoding="utf-8"?>
<Properties xmlns="http://schemas.openxmlformats.org/officeDocument/2006/custom-properties" xmlns:vt="http://schemas.openxmlformats.org/officeDocument/2006/docPropsVTypes"/>
</file>