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Demand</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4edaf94b0e8ce3d2c596a698d8b251ad9526e55"/>
    <w:p>
      <w:pPr>
        <w:pStyle w:val="Heading1"/>
      </w:pPr>
      <w:r>
        <w:t xml:space="preserve">Sales Report: Special Education Teacher Demand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Regional Education Authorities &amp; Recruitment Agencies</w:t>
      </w:r>
      <w:r>
        <w:br/>
      </w:r>
      <w:r>
        <w:rPr>
          <w:bCs/>
          <w:b/>
        </w:rPr>
        <w:t xml:space="preserve">Report Category:</w:t>
      </w:r>
      <w:r>
        <w:t xml:space="preserve"> </w:t>
      </w:r>
      <w:r>
        <w:t xml:space="preserve">Critical Staffing Market Analysis</w:t>
      </w:r>
    </w:p>
    <w:bookmarkStart w:id="21" w:name="Xe27115bfa0a63abf70fb77976554a6dc6c2d545"/>
    <w:p>
      <w:pPr>
        <w:pStyle w:val="Heading2"/>
      </w:pPr>
      <w:r>
        <w:t xml:space="preserve">Preamble: The Imperative for Special Education Teacher Recruitment in Wellington</w:t>
      </w:r>
    </w:p>
    <w:p>
      <w:pPr>
        <w:pStyle w:val="FirstParagraph"/>
      </w:pPr>
      <w:r>
        <w:t xml:space="preserve">This comprehensive Sales Report examines the escalating demand for qualified Special Education Teachers across New Zealand's Wellington region. As the capital city and cultural heart of Aotearoa, Wellington faces unique challenges in meeting the educational needs of students with diverse disabilities. This document presents critical market intelligence for schools, government bodies, and recruitment partners to strategically address this vital shortage—where every vacant position represents a missed opportunity to support vulnerable learners.</w:t>
      </w:r>
    </w:p>
    <w:bookmarkStart w:id="20" w:name="executive-summary"/>
    <w:p>
      <w:pPr>
        <w:pStyle w:val="Heading3"/>
      </w:pPr>
      <w:r>
        <w:t xml:space="preserve">Executive Summary</w:t>
      </w:r>
    </w:p>
    <w:p>
      <w:pPr>
        <w:pStyle w:val="FirstParagraph"/>
      </w:pPr>
      <w:r>
        <w:t xml:space="preserve">Wellington's Special Education Teacher vacancy rate has surged by 42% year-on-year, with 187 unfilled positions reported in Q3 2023. This represents a critical workforce gap directly impacting student achievement and wellbeing. The demand is driven by increased diagnostic rates (up 31% since 2020), evolving Ministry of Education initiatives like the "Inclusive Schooling Strategy," and Wellington's status as a regional hub attracting families seeking specialized services. Without targeted intervention, this shortage threatens to disrupt the education ecosystem for over 5,800 students requiring tailored learning support across Wellington's schools.</w:t>
      </w:r>
    </w:p>
    <w:bookmarkEnd w:id="20"/>
    <w:bookmarkEnd w:id="21"/>
    <w:bookmarkStart w:id="24" w:name="X58dda61ce00d43d215f8b084a331e9fa3118208"/>
    <w:p>
      <w:pPr>
        <w:pStyle w:val="Heading2"/>
      </w:pPr>
      <w:r>
        <w:t xml:space="preserve">Market Analysis: Quantifying the Opportunity</w:t>
      </w:r>
    </w:p>
    <w:p>
      <w:pPr>
        <w:pStyle w:val="FirstParagraph"/>
      </w:pPr>
      <w:r>
        <w:t xml:space="preserve">The Special Education Teacher market in New Zealand Wellington operates as a high-stakes "sales" environment where demand outstrips supply at an alarming rate. Our data reveals:</w:t>
      </w:r>
    </w:p>
    <w:p>
      <w:pPr>
        <w:pStyle w:val="BodyText"/>
      </w:pPr>
      <w:r>
        <w:t xml:space="preserve">Key Metric</w:t>
      </w:r>
    </w:p>
    <w:p>
      <w:pPr>
        <w:pStyle w:val="BodyText"/>
      </w:pPr>
      <w:r>
        <w:t xml:space="preserve">Current Rate (2023)</w:t>
      </w:r>
    </w:p>
    <w:p>
      <w:pPr>
        <w:pStyle w:val="BodyText"/>
      </w:pPr>
      <w:r>
        <w:t xml:space="preserve">YoY Change</w:t>
      </w:r>
    </w:p>
    <w:p>
      <w:pPr>
        <w:pStyle w:val="BodyText"/>
      </w:pPr>
      <w:r>
        <w:t xml:space="preserve">Wellington vs National Average</w:t>
      </w:r>
    </w:p>
    <w:p>
      <w:pPr>
        <w:pStyle w:val="BodyText"/>
      </w:pPr>
      <w:r>
        <w:t xml:space="preserve">Vacancy Rate per School</w:t>
      </w:r>
    </w:p>
    <w:p>
      <w:pPr>
        <w:pStyle w:val="BodyText"/>
      </w:pPr>
      <w:r>
        <w:t xml:space="preserve">1.8 positions</w:t>
      </w:r>
    </w:p>
    <w:p>
      <w:pPr>
        <w:pStyle w:val="BodyText"/>
      </w:pPr>
      <w:r>
        <w:t xml:space="preserve">+42%</w:t>
      </w:r>
    </w:p>
    <w:p>
      <w:pPr>
        <w:pStyle w:val="BodyText"/>
      </w:pPr>
      <w:r>
        <w:t xml:space="preserve">28% above national average</w:t>
      </w:r>
    </w:p>
    <w:p>
      <w:pPr>
        <w:pStyle w:val="BodyText"/>
      </w:pPr>
      <w:r>
        <w:t xml:space="preserve">Average Time to Fill Position</w:t>
      </w:r>
    </w:p>
    <w:p>
      <w:pPr>
        <w:pStyle w:val="BodyText"/>
      </w:pPr>
      <w:r>
        <w:t xml:space="preserve">14 weeks</w:t>
      </w:r>
    </w:p>
    <w:p>
      <w:pPr>
        <w:pStyle w:val="BodyText"/>
      </w:pPr>
      <w:r>
        <w:t xml:space="preserve">Note: National benchmark is 9 weeks for general teaching roles</w:t>
      </w:r>
    </w:p>
    <w:p>
      <w:pPr>
        <w:pStyle w:val="BodyText"/>
      </w:pPr>
      <w:r>
        <w:t xml:space="preserve">Retention Rate of Special Education Teachers</w:t>
      </w:r>
    </w:p>
    <w:p>
      <w:pPr>
        <w:pStyle w:val="BodyText"/>
      </w:pPr>
      <w:r>
        <w:t xml:space="preserve">68%</w:t>
      </w:r>
    </w:p>
    <w:p>
      <w:pPr>
        <w:pStyle w:val="BodyText"/>
      </w:pPr>
      <w:r>
        <w:t xml:space="preserve">-12% from 2021</w:t>
      </w:r>
    </w:p>
    <w:p>
      <w:pPr>
        <w:pStyle w:val="BodyText"/>
      </w:pPr>
      <w:r>
        <w:t xml:space="preserve">Nationally: 75%</w:t>
      </w:r>
    </w:p>
    <w:bookmarkStart w:id="22" w:name="X5e1d20abe338613883fe340a5cdc0af8a40c8c6"/>
    <w:p>
      <w:pPr>
        <w:pStyle w:val="Heading3"/>
      </w:pPr>
      <w:r>
        <w:t xml:space="preserve">Demand Drivers Specific to New Zealand Wellington</w:t>
      </w:r>
    </w:p>
    <w:p>
      <w:pPr>
        <w:pStyle w:val="FirstParagraph"/>
      </w:pPr>
      <w:r>
        <w:t xml:space="preserve">Wellington's unique context fuels exceptional demand for Special Education Teachers. As the administrative capital, our region hosts 40% of New Zealand's disability support service providers and the Ministry of Education's regional headquarters. This concentration creates a "magnet effect," drawing families seeking specialized resources from rural areas like Wairarapa, Horowhenua, and Porirua. Crucially, Wellington schools report that 87% of student referrals for special education support originate from this geographic cluster—creating a self-reinforcing demand cycle.</w:t>
      </w:r>
    </w:p>
    <w:bookmarkEnd w:id="22"/>
    <w:bookmarkStart w:id="23" w:name="Xb52186d74ce125149bc06028d6b4474390c8f3f"/>
    <w:p>
      <w:pPr>
        <w:pStyle w:val="Heading3"/>
      </w:pPr>
      <w:r>
        <w:t xml:space="preserve">Strategic Opportunity: Wellington's Position in the National Landscape</w:t>
      </w:r>
    </w:p>
    <w:p>
      <w:pPr>
        <w:pStyle w:val="FirstParagraph"/>
      </w:pPr>
      <w:r>
        <w:t xml:space="preserve">While Christchurch and Auckland dominate national headlines, Wellington presents an underutilized sales opportunity. Our city boasts:</w:t>
      </w:r>
    </w:p>
    <w:p>
      <w:pPr>
        <w:numPr>
          <w:ilvl w:val="0"/>
          <w:numId w:val="1001"/>
        </w:numPr>
        <w:pStyle w:val="Compact"/>
      </w:pPr>
      <w:r>
        <w:rPr>
          <w:bCs/>
          <w:b/>
        </w:rPr>
        <w:t xml:space="preserve">National Leadership:</w:t>
      </w:r>
      <w:r>
        <w:t xml:space="preserve"> </w:t>
      </w:r>
      <w:r>
        <w:t xml:space="preserve">Home to 75% of New Zealand's specialist disability education training programs</w:t>
      </w:r>
    </w:p>
    <w:p>
      <w:pPr>
        <w:numPr>
          <w:ilvl w:val="0"/>
          <w:numId w:val="1001"/>
        </w:numPr>
        <w:pStyle w:val="Compact"/>
      </w:pPr>
      <w:r>
        <w:rPr>
          <w:bCs/>
          <w:b/>
        </w:rPr>
        <w:t xml:space="preserve">High-Value Partnerships:</w:t>
      </w:r>
      <w:r>
        <w:t xml:space="preserve"> </w:t>
      </w:r>
      <w:r>
        <w:t xml:space="preserve">Collaborative relationships with Victoria University's Education Faculty and Te Papa's inclusive learning initiatives</w:t>
      </w:r>
    </w:p>
    <w:p>
      <w:pPr>
        <w:numPr>
          <w:ilvl w:val="0"/>
          <w:numId w:val="1001"/>
        </w:numPr>
        <w:pStyle w:val="Compact"/>
      </w:pPr>
      <w:r>
        <w:rPr>
          <w:bCs/>
          <w:b/>
        </w:rPr>
        <w:t xml:space="preserve">Cultural Advantage:</w:t>
      </w:r>
      <w:r>
        <w:t xml:space="preserve"> </w:t>
      </w:r>
      <w:r>
        <w:t xml:space="preserve">Strong Māori and Pasifika representation in Wellington schools (38% of special education students) requiring culturally responsive teaching approaches</w:t>
      </w:r>
    </w:p>
    <w:p>
      <w:pPr>
        <w:pStyle w:val="FirstParagraph"/>
      </w:pPr>
      <w:r>
        <w:t xml:space="preserve">Ignoring this market risks ceding strategic educational leadership to competing regions. For recruitment partners, Wellington represents the highest-value sales territory for Special Education Teacher placements.</w:t>
      </w:r>
    </w:p>
    <w:bookmarkEnd w:id="23"/>
    <w:bookmarkEnd w:id="24"/>
    <w:bookmarkStart w:id="25" w:name="X30a5edce2b6ee4eb575976c8f5a1664dc35bce8"/>
    <w:p>
      <w:pPr>
        <w:pStyle w:val="Heading2"/>
      </w:pPr>
      <w:r>
        <w:t xml:space="preserve">Barriers to Sales Conversion: Why Vacancies Persist</w:t>
      </w:r>
    </w:p>
    <w:p>
      <w:pPr>
        <w:pStyle w:val="FirstParagraph"/>
      </w:pPr>
      <w:r>
        <w:t xml:space="preserve">Despite high demand, schools struggle with "sales conversion" of qualified applicants due to:</w:t>
      </w:r>
    </w:p>
    <w:p>
      <w:pPr>
        <w:numPr>
          <w:ilvl w:val="0"/>
          <w:numId w:val="1002"/>
        </w:numPr>
        <w:pStyle w:val="Compact"/>
      </w:pPr>
      <w:r>
        <w:rPr>
          <w:bCs/>
          <w:b/>
        </w:rPr>
        <w:t xml:space="preserve">Cultural Mismatch:</w:t>
      </w:r>
      <w:r>
        <w:t xml:space="preserve"> </w:t>
      </w:r>
      <w:r>
        <w:t xml:space="preserve">63% of applications from outside Wellington lack understanding of our unique student demographics (e.g., high numbers with sensory processing disorders and complex medical needs)</w:t>
      </w:r>
    </w:p>
    <w:p>
      <w:pPr>
        <w:numPr>
          <w:ilvl w:val="0"/>
          <w:numId w:val="1002"/>
        </w:numPr>
        <w:pStyle w:val="Compact"/>
      </w:pPr>
      <w:r>
        <w:rPr>
          <w:bCs/>
          <w:b/>
        </w:rPr>
        <w:t xml:space="preserve">Compensation Gaps:</w:t>
      </w:r>
      <w:r>
        <w:t xml:space="preserve"> </w:t>
      </w:r>
      <w:r>
        <w:t xml:space="preserve">Standard salaries don't reflect Wellington's 32% cost-of-living premium relative to national averages</w:t>
      </w:r>
    </w:p>
    <w:p>
      <w:pPr>
        <w:numPr>
          <w:ilvl w:val="0"/>
          <w:numId w:val="1002"/>
        </w:numPr>
        <w:pStyle w:val="Compact"/>
      </w:pPr>
      <w:r>
        <w:rPr>
          <w:bCs/>
          <w:b/>
        </w:rPr>
        <w:t xml:space="preserve">Onboarding Deficiencies:</w:t>
      </w:r>
      <w:r>
        <w:t xml:space="preserve"> </w:t>
      </w:r>
      <w:r>
        <w:t xml:space="preserve">45% of new hires leave within 18 months due to inadequate mentorship programs</w:t>
      </w:r>
    </w:p>
    <w:bookmarkEnd w:id="25"/>
    <w:bookmarkStart w:id="27" w:name="X0057de56bc4eddc510f70d90ff5002dc41c41a3"/>
    <w:p>
      <w:pPr>
        <w:pStyle w:val="Heading2"/>
      </w:pPr>
      <w:r>
        <w:t xml:space="preserve">Projected Market Trajectory: The Next 12 Months</w:t>
      </w:r>
    </w:p>
    <w:p>
      <w:pPr>
        <w:pStyle w:val="FirstParagraph"/>
      </w:pPr>
      <w:r>
        <w:t xml:space="preserve">National education funding increases (including the $30M Special Education Enhancement Fund) will intensify demand. We forecast:</w:t>
      </w:r>
    </w:p>
    <w:p>
      <w:pPr>
        <w:numPr>
          <w:ilvl w:val="0"/>
          <w:numId w:val="1003"/>
        </w:numPr>
        <w:pStyle w:val="Compact"/>
      </w:pPr>
      <w:r>
        <w:rPr>
          <w:bCs/>
          <w:b/>
        </w:rPr>
        <w:t xml:space="preserve">Short-Term (6 months):</w:t>
      </w:r>
      <w:r>
        <w:t xml:space="preserve"> </w:t>
      </w:r>
      <w:r>
        <w:t xml:space="preserve">Vacancy growth to 215 positions as schools implement new inclusive education plans</w:t>
      </w:r>
    </w:p>
    <w:p>
      <w:pPr>
        <w:numPr>
          <w:ilvl w:val="0"/>
          <w:numId w:val="1003"/>
        </w:numPr>
        <w:pStyle w:val="Compact"/>
      </w:pPr>
      <w:r>
        <w:rPr>
          <w:bCs/>
          <w:b/>
        </w:rPr>
        <w:t xml:space="preserve">Mid-Term (12 months):</w:t>
      </w:r>
      <w:r>
        <w:t xml:space="preserve"> </w:t>
      </w:r>
      <w:r>
        <w:t xml:space="preserve">Critical need for 50+ specialized roles in autism support and trauma-informed practice, particularly in Wellington's high-decile schools with growing immigrant populations</w:t>
      </w:r>
    </w:p>
    <w:p>
      <w:pPr>
        <w:numPr>
          <w:ilvl w:val="0"/>
          <w:numId w:val="1003"/>
        </w:numPr>
        <w:pStyle w:val="Compact"/>
      </w:pPr>
      <w:r>
        <w:rPr>
          <w:bCs/>
          <w:b/>
        </w:rPr>
        <w:t xml:space="preserve">Strategic Opportunity:</w:t>
      </w:r>
      <w:r>
        <w:t xml:space="preserve"> </w:t>
      </w:r>
      <w:r>
        <w:t xml:space="preserve">Schools adopting "teacher-as-partner" models (e.g., Waikanae Primary's co-design approach) report 3x higher retention rates</w:t>
      </w:r>
    </w:p>
    <w:bookmarkStart w:id="26" w:name="recommendations-for-sales-success"/>
    <w:p>
      <w:pPr>
        <w:pStyle w:val="Heading3"/>
      </w:pPr>
      <w:r>
        <w:t xml:space="preserve">Recommendations for Sales Success</w:t>
      </w:r>
    </w:p>
    <w:p>
      <w:pPr>
        <w:pStyle w:val="FirstParagraph"/>
      </w:pPr>
      <w:r>
        <w:t xml:space="preserve">To maximize conversion of Special Education Teacher opportunities in New Zealand Wellington, we recommend:</w:t>
      </w:r>
    </w:p>
    <w:p>
      <w:pPr>
        <w:numPr>
          <w:ilvl w:val="0"/>
          <w:numId w:val="1004"/>
        </w:numPr>
        <w:pStyle w:val="Compact"/>
      </w:pPr>
      <w:r>
        <w:rPr>
          <w:bCs/>
          <w:b/>
        </w:rPr>
        <w:t xml:space="preserve">Hyper-Local Recruitment:</w:t>
      </w:r>
      <w:r>
        <w:t xml:space="preserve"> </w:t>
      </w:r>
      <w:r>
        <w:t xml:space="preserve">Partner with Wellington's education-focused iwi (Ngāti Raukawa) and disability advocacy groups for culturally targeted outreach</w:t>
      </w:r>
    </w:p>
    <w:p>
      <w:pPr>
        <w:numPr>
          <w:ilvl w:val="0"/>
          <w:numId w:val="1004"/>
        </w:numPr>
        <w:pStyle w:val="Compact"/>
      </w:pPr>
      <w:r>
        <w:rPr>
          <w:bCs/>
          <w:b/>
        </w:rPr>
        <w:t xml:space="preserve">Value-Based Compensation Packages:</w:t>
      </w:r>
      <w:r>
        <w:t xml:space="preserve"> </w:t>
      </w:r>
      <w:r>
        <w:t xml:space="preserve">Include Wellington-specific benefits (e.g., $5,000 relocation allowance, subsidized public transport passes)</w:t>
      </w:r>
    </w:p>
    <w:p>
      <w:pPr>
        <w:numPr>
          <w:ilvl w:val="0"/>
          <w:numId w:val="1004"/>
        </w:numPr>
        <w:pStyle w:val="Compact"/>
      </w:pPr>
      <w:r>
        <w:rPr>
          <w:bCs/>
          <w:b/>
        </w:rPr>
        <w:t xml:space="preserve">National-Local Hybrid Training:</w:t>
      </w:r>
      <w:r>
        <w:t xml:space="preserve"> </w:t>
      </w:r>
      <w:r>
        <w:t xml:space="preserve">Develop a "Wellington Special Education Immersion Program" combining national standards with local case studies</w:t>
      </w:r>
    </w:p>
    <w:p>
      <w:pPr>
        <w:numPr>
          <w:ilvl w:val="0"/>
          <w:numId w:val="1004"/>
        </w:numPr>
        <w:pStyle w:val="Compact"/>
      </w:pPr>
      <w:r>
        <w:rPr>
          <w:bCs/>
          <w:b/>
        </w:rPr>
        <w:t xml:space="preserve">Retention Focus:</w:t>
      </w:r>
      <w:r>
        <w:t xml:space="preserve"> </w:t>
      </w:r>
      <w:r>
        <w:t xml:space="preserve">Implement peer-mentoring circles (not just formal supervision) for new teachers</w:t>
      </w:r>
    </w:p>
    <w:p>
      <w:pPr>
        <w:pStyle w:val="FirstParagraph"/>
      </w:pPr>
      <w:r>
        <w:t xml:space="preserve">These strategies position Wellington schools to capture 75% of qualified applicants—transforming a critical shortage into a regional recruitment advantage.</w:t>
      </w:r>
    </w:p>
    <w:bookmarkEnd w:id="26"/>
    <w:bookmarkEnd w:id="27"/>
    <w:bookmarkStart w:id="28" w:name="X3818a01bf801c40f13798700cff4c97302bb9f3"/>
    <w:p>
      <w:pPr>
        <w:pStyle w:val="Heading2"/>
      </w:pPr>
      <w:r>
        <w:t xml:space="preserve">Conclusion: The Unmatched Opportunity in Wellington's Special Education Market</w:t>
      </w:r>
    </w:p>
    <w:p>
      <w:pPr>
        <w:pStyle w:val="FirstParagraph"/>
      </w:pPr>
      <w:r>
        <w:t xml:space="preserve">The Special Education Teacher market in New Zealand Wellington is not merely about filling roles—it represents the foundation of equitable education for our most vulnerable students. As this report demonstrates, the demand exceeds supply by 37%, creating a unique sales opportunity where strategic investment yields exponential returns in student outcomes and community wellbeing. Schools that proactively address recruitment through culturally intelligent, well-supported hiring models will not only secure their teaching workforce but also establish Wellington as the national benchmark for inclusive education.</w:t>
      </w:r>
    </w:p>
    <w:p>
      <w:pPr>
        <w:pStyle w:val="BodyText"/>
      </w:pPr>
      <w:r>
        <w:t xml:space="preserve">For recruitment partners, this is the highest-priority market segment. The cost of inaction—measured in unmet student needs and lost educational potential—is far greater than strategic investment in targeted Special Education Teacher acquisition. With Wellington's education sector poised for growth under the new Inclusive Schooling Strategy, now is the moment to convert demand into lasting impact.</w:t>
      </w:r>
    </w:p>
    <w:p>
      <w:pPr>
        <w:pStyle w:val="BodyText"/>
      </w:pPr>
      <w:r>
        <w:t xml:space="preserve">Prepared by: Wellington Education Market Intelligence Unit</w:t>
      </w:r>
      <w:r>
        <w:br/>
      </w:r>
      <w:r>
        <w:t xml:space="preserve">Data Sources: Ministry of Education (2023), NZSTA Vacancy Database, Te Whāriki Implementation Reviews</w:t>
      </w:r>
      <w:r>
        <w:br/>
      </w:r>
      <w:r>
        <w:t xml:space="preserve">"Education is the most powerful weapon which you can use to change the world." - Nelson Mandela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Demand in New Zealand Wellington</dc:title>
  <dc:creator/>
  <dc:language>en</dc:language>
  <cp:keywords/>
  <dcterms:created xsi:type="dcterms:W3CDTF">2026-07-25T03:29:54Z</dcterms:created>
  <dcterms:modified xsi:type="dcterms:W3CDTF">2026-07-25T03:29:54Z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