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Special</w:t>
      </w:r>
      <w:r>
        <w:t xml:space="preserve"> </w:t>
      </w:r>
      <w:r>
        <w:t xml:space="preserve">Education</w:t>
      </w:r>
      <w:r>
        <w:t xml:space="preserve"> </w:t>
      </w:r>
      <w:r>
        <w:t xml:space="preserve">Teacher</w:t>
      </w:r>
      <w:r>
        <w:t xml:space="preserve"> </w:t>
      </w:r>
      <w:r>
        <w:t xml:space="preserve">Market</w:t>
      </w:r>
      <w:r>
        <w:t xml:space="preserve"> </w:t>
      </w:r>
      <w:r>
        <w:t xml:space="preserve">Analysis</w:t>
      </w:r>
      <w:r>
        <w:t xml:space="preserve"> </w:t>
      </w:r>
      <w:r>
        <w:t xml:space="preserve">-</w:t>
      </w:r>
      <w:r>
        <w:t xml:space="preserve"> </w:t>
      </w:r>
      <w:r>
        <w:t xml:space="preserve">Russia</w:t>
      </w:r>
      <w:r>
        <w:t xml:space="preserve"> </w:t>
      </w:r>
      <w:r>
        <w:t xml:space="preserve">Moscow</w:t>
      </w:r>
    </w:p>
    <w:bookmarkStart w:id="28" w:name="X98f821be0419b9037989ed47f12aa9b17287f75"/>
    <w:p>
      <w:pPr>
        <w:pStyle w:val="Heading1"/>
      </w:pPr>
      <w:r>
        <w:t xml:space="preserve">Sales Report: Strategic Market Expansion of Special Education Teacher Services in Russia Moscow</w:t>
      </w:r>
    </w:p>
    <w:p>
      <w:pPr>
        <w:pStyle w:val="FirstParagraph"/>
      </w:pPr>
      <w:r>
        <w:rPr>
          <w:bCs/>
          <w:b/>
        </w:rPr>
        <w:t xml:space="preserve">Prepared For:</w:t>
      </w:r>
      <w:r>
        <w:t xml:space="preserve"> </w:t>
      </w:r>
      <w:r>
        <w:t xml:space="preserve">Executive Leadership, Global Education Solutions Division</w:t>
      </w:r>
      <w:r>
        <w:br/>
      </w:r>
      <w:r>
        <w:rPr>
          <w:bCs/>
          <w:b/>
        </w:rPr>
        <w:t xml:space="preserve">Date:</w:t>
      </w:r>
      <w:r>
        <w:t xml:space="preserve"> </w:t>
      </w:r>
      <w:r>
        <w:t xml:space="preserve">October 26, 2023</w:t>
      </w:r>
      <w:r>
        <w:br/>
      </w:r>
      <w:r>
        <w:rPr>
          <w:bCs/>
          <w:b/>
        </w:rPr>
        <w:t xml:space="preserve">Report Scope:</w:t>
      </w:r>
      <w:r>
        <w:t xml:space="preserve"> </w:t>
      </w:r>
      <w:r>
        <w:t xml:space="preserve">Special Education Teacher Recruitment, Training &amp; Market Performance Analysis for Moscow Metropolitan Region</w:t>
      </w:r>
    </w:p>
    <w:bookmarkStart w:id="20" w:name="i.-executive-summary"/>
    <w:p>
      <w:pPr>
        <w:pStyle w:val="Heading2"/>
      </w:pPr>
      <w:r>
        <w:t xml:space="preserve">I. Executive Summary</w:t>
      </w:r>
    </w:p>
    <w:p>
      <w:pPr>
        <w:pStyle w:val="FirstParagraph"/>
      </w:pPr>
      <w:r>
        <w:t xml:space="preserve">This Sales Report details the unprecedented growth trajectory of our specialized Special Education Teacher recruitment and professional development services within Russia's most dynamic educational hub—Moscow. Following a 300% year-over-year increase in demand, Moscow has emerged as our highest-value market for tailored special needs education solutions. The region now represents 42% of all premium Special Education Teacher placements in Russia, with projected revenue growth of $1.8M for Q4 2023. This report validates our strategic pivot toward Russia Moscow as a flagship market, where cultural adaptation and compliance with Federal Law No. 273-FZ (Education) have driven exceptional sales conversion rates.</w:t>
      </w:r>
    </w:p>
    <w:bookmarkEnd w:id="20"/>
    <w:bookmarkStart w:id="21" w:name="X35c5c1f288d9ad7e7133126b531293859c8ba99"/>
    <w:p>
      <w:pPr>
        <w:pStyle w:val="Heading2"/>
      </w:pPr>
      <w:r>
        <w:t xml:space="preserve">II. Market Context: Special Education Demand in Russia Moscow</w:t>
      </w:r>
    </w:p>
    <w:p>
      <w:pPr>
        <w:pStyle w:val="FirstParagraph"/>
      </w:pPr>
      <w:r>
        <w:t xml:space="preserve">Moscow's educational landscape faces critical challenges: The city serves over 45,000 students with disabilities across 1,287 specialized schools and inclusive classrooms—a number rising at 14% annually. Federal mandates under Law No. 273-FZ require all Moscow municipalities to increase inclusive education by 35% by 2025, creating a shortage of</w:t>
      </w:r>
      <w:r>
        <w:t xml:space="preserve"> </w:t>
      </w:r>
      <w:r>
        <w:rPr>
          <w:bCs/>
          <w:b/>
        </w:rPr>
        <w:t xml:space="preserve">Special Education Teacher</w:t>
      </w:r>
      <w:r>
        <w:t xml:space="preserve"> </w:t>
      </w:r>
      <w:r>
        <w:t xml:space="preserve">professionals exceeding 6,800 vacancies. Our sales data reveals that Moscow schools now allocate 68% of their education budget toward specialized staff recruitment—up from 41% in 2019—confirming this as a non-negotiable priority for municipal education authorities.</w:t>
      </w:r>
    </w:p>
    <w:bookmarkEnd w:id="21"/>
    <w:bookmarkStart w:id="22" w:name="Xecfc4830e19eea503140022ef29abc2eb4c04cf"/>
    <w:p>
      <w:pPr>
        <w:pStyle w:val="Heading2"/>
      </w:pPr>
      <w:r>
        <w:t xml:space="preserve">III. Sales Performance Metrics (Moscow Region)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New Special Education Teacher Placements (Moscow)</w:t>
            </w:r>
          </w:p>
        </w:tc>
        <w:tc>
          <w:tcPr/>
          <w:p>
            <w:pPr>
              <w:pStyle w:val="Compact"/>
              <w:jc w:val="left"/>
            </w:pPr>
            <w:r>
              <w:t xml:space="preserve">187</w:t>
            </w:r>
          </w:p>
        </w:tc>
        <w:tc>
          <w:tcPr/>
          <w:p>
            <w:pPr>
              <w:pStyle w:val="Compact"/>
              <w:jc w:val="left"/>
            </w:pPr>
            <w:r>
              <w:t xml:space="preserve">59</w:t>
            </w:r>
          </w:p>
        </w:tc>
        <w:tc>
          <w:tcPr/>
          <w:p>
            <w:pPr>
              <w:pStyle w:val="Compact"/>
              <w:jc w:val="left"/>
            </w:pPr>
            <w:r>
              <w:t xml:space="preserve">+217%</w:t>
            </w:r>
          </w:p>
        </w:tc>
      </w:tr>
      <w:tr>
        <w:tc>
          <w:tcPr/>
          <w:p>
            <w:pPr>
              <w:pStyle w:val="Compact"/>
              <w:jc w:val="left"/>
            </w:pPr>
            <w:r>
              <w:t xml:space="preserve">Average Contract Value per Teacher</w:t>
            </w:r>
          </w:p>
        </w:tc>
        <w:tc>
          <w:tcPr/>
          <w:p>
            <w:pPr>
              <w:pStyle w:val="Compact"/>
              <w:jc w:val="left"/>
            </w:pPr>
            <w:r>
              <w:t xml:space="preserve">$38,200 USD</w:t>
            </w:r>
          </w:p>
        </w:tc>
        <w:tc>
          <w:tcPr/>
          <w:p>
            <w:pPr>
              <w:pStyle w:val="Compact"/>
              <w:jc w:val="left"/>
            </w:pPr>
            <w:r>
              <w:t xml:space="preserve">$29,500 USD</w:t>
            </w:r>
          </w:p>
        </w:tc>
        <w:tc>
          <w:tcPr/>
          <w:p>
            <w:pPr>
              <w:pStyle w:val="Compact"/>
              <w:jc w:val="left"/>
            </w:pPr>
            <w:r>
              <w:t xml:space="preserve">+30%</w:t>
            </w:r>
          </w:p>
        </w:tc>
      </w:tr>
      <w:tr>
        <w:tc>
          <w:tcPr/>
          <w:p>
            <w:pPr>
              <w:pStyle w:val="Compact"/>
              <w:jc w:val="left"/>
            </w:pPr>
            <w:r>
              <w:t xml:space="preserve">Client Retention Rate (Moscow)</w:t>
            </w:r>
          </w:p>
        </w:tc>
        <w:tc>
          <w:tcPr/>
          <w:p>
            <w:pPr>
              <w:pStyle w:val="Compact"/>
              <w:jc w:val="left"/>
            </w:pPr>
            <w:r>
              <w:t xml:space="preserve">94%</w:t>
            </w:r>
          </w:p>
        </w:tc>
        <w:tc>
          <w:tcPr/>
          <w:p>
            <w:pPr>
              <w:pStyle w:val="Compact"/>
              <w:jc w:val="left"/>
            </w:pPr>
            <w:r>
              <w:t xml:space="preserve">76%</w:t>
            </w:r>
          </w:p>
        </w:tc>
        <w:tc>
          <w:tcPr/>
          <w:p>
            <w:pPr>
              <w:pStyle w:val="Compact"/>
              <w:jc w:val="left"/>
            </w:pPr>
            <w:r>
              <w:t xml:space="preserve">+18 pts</w:t>
            </w:r>
          </w:p>
        </w:tc>
      </w:tr>
    </w:tbl>
    <w:p>
      <w:pPr>
        <w:pStyle w:val="BodyText"/>
      </w:pPr>
      <w:r>
        <w:rPr>
          <w:bCs/>
          <w:b/>
        </w:rPr>
        <w:t xml:space="preserve">Critical Insight:</w:t>
      </w:r>
      <w:r>
        <w:t xml:space="preserve"> </w:t>
      </w:r>
      <w:r>
        <w:t xml:space="preserve">Moscow's sales cycle averages 32 days—significantly below the Russian national average of 58 days. This efficiency stems from our localized compliance framework ensuring all Special Education Teacher candidates meet Ministry of Education standards (including Russian language proficiency at B2 level and state-recognized pedagogy credentials), eliminating post-placement rejection risks that plague competitors.</w:t>
      </w:r>
    </w:p>
    <w:bookmarkEnd w:id="22"/>
    <w:bookmarkStart w:id="23" w:name="X7d5d76ea069cac7eff65b4763e2ee3c74a0d24b"/>
    <w:p>
      <w:pPr>
        <w:pStyle w:val="Heading2"/>
      </w:pPr>
      <w:r>
        <w:t xml:space="preserve">IV. Competitive Differentiation in Russia Moscow</w:t>
      </w:r>
    </w:p>
    <w:p>
      <w:pPr>
        <w:pStyle w:val="FirstParagraph"/>
      </w:pPr>
      <w:r>
        <w:t xml:space="preserve">Unlike global education agencies that offer standardized Special Education Teacher solutions, our Moscow-specific strategy delivers three proprietary advantages:</w:t>
      </w:r>
    </w:p>
    <w:p>
      <w:pPr>
        <w:numPr>
          <w:ilvl w:val="0"/>
          <w:numId w:val="1001"/>
        </w:numPr>
        <w:pStyle w:val="Compact"/>
      </w:pPr>
      <w:r>
        <w:rPr>
          <w:bCs/>
          <w:b/>
        </w:rPr>
        <w:t xml:space="preserve">Cultural Integration Protocol:</w:t>
      </w:r>
      <w:r>
        <w:t xml:space="preserve"> </w:t>
      </w:r>
      <w:r>
        <w:t xml:space="preserve">All teachers undergo 100+ hours of Moscow-centric training covering regional disability support systems (e.g., "Moscow School Support Centers" network), parental engagement customs, and local curriculum adaptations. This reduced onboarding time by 47% versus industry benchmarks.</w:t>
      </w:r>
    </w:p>
    <w:p>
      <w:pPr>
        <w:numPr>
          <w:ilvl w:val="0"/>
          <w:numId w:val="1001"/>
        </w:numPr>
        <w:pStyle w:val="Compact"/>
      </w:pPr>
      <w:r>
        <w:rPr>
          <w:bCs/>
          <w:b/>
        </w:rPr>
        <w:t xml:space="preserve">Compliance Mastery:</w:t>
      </w:r>
      <w:r>
        <w:t xml:space="preserve"> </w:t>
      </w:r>
      <w:r>
        <w:t xml:space="preserve">Our Moscow legal team maintains real-time tracking of amendments to Article 19 of Federal Law No. 273-FZ, ensuring all placements avoid costly municipal compliance failures that cause ~28% of competitor contracts to terminate within first year.</w:t>
      </w:r>
    </w:p>
    <w:p>
      <w:pPr>
        <w:numPr>
          <w:ilvl w:val="0"/>
          <w:numId w:val="1001"/>
        </w:numPr>
        <w:pStyle w:val="Compact"/>
      </w:pPr>
      <w:r>
        <w:rPr>
          <w:bCs/>
          <w:b/>
        </w:rPr>
        <w:t xml:space="preserve">Strategic Partnerships:</w:t>
      </w:r>
      <w:r>
        <w:t xml:space="preserve"> </w:t>
      </w:r>
      <w:r>
        <w:t xml:space="preserve">Direct contracts with Moscow's Department of Education and 47 leading special schools (including the prestigious "Nadezhda" School for Autistic Children) generate priority placement access—critical in a market where 89% of high-demand positions are reserved through institutional agreements.</w:t>
      </w:r>
    </w:p>
    <w:bookmarkEnd w:id="23"/>
    <w:bookmarkStart w:id="24" w:name="X2a1f56b26b67edbb314042d6068ea5efcba3dd7"/>
    <w:p>
      <w:pPr>
        <w:pStyle w:val="Heading2"/>
      </w:pPr>
      <w:r>
        <w:t xml:space="preserve">V. Client Testimonial: Moscow Municipal Education Authority</w:t>
      </w:r>
    </w:p>
    <w:p>
      <w:pPr>
        <w:pStyle w:val="FirstParagraph"/>
      </w:pPr>
      <w:r>
        <w:t xml:space="preserve">"The Special Education Teacher recruitment model from Global Education Solutions has transformed our district's inclusion rates. In 18 months, we've onboarded 124 certified specialists through your Russia Moscow service—reducing classroom gaps by 73%. Your team doesn't just supply teachers; they deliver culturally fluent educators who understand Moscow's unique educational ecosystem."</w:t>
      </w:r>
      <w:r>
        <w:br/>
      </w:r>
      <w:r>
        <w:rPr>
          <w:iCs/>
          <w:i/>
        </w:rPr>
        <w:t xml:space="preserve">- Elena Petrova, Deputy Director of Inclusive Education, Moscow Department of Education</w:t>
      </w:r>
    </w:p>
    <w:bookmarkEnd w:id="24"/>
    <w:bookmarkStart w:id="25" w:name="X42efcc507856c1485ecdaaa8cb1a0a0819933b1"/>
    <w:p>
      <w:pPr>
        <w:pStyle w:val="Heading2"/>
      </w:pPr>
      <w:r>
        <w:t xml:space="preserve">VI. Challenges &amp; Mitigation Strategies (Moscow Focus)</w:t>
      </w:r>
    </w:p>
    <w:p>
      <w:pPr>
        <w:pStyle w:val="FirstParagraph"/>
      </w:pPr>
      <w:r>
        <w:t xml:space="preserve">While demand surges, we identify two critical Moscow-specific challenges:</w:t>
      </w:r>
    </w:p>
    <w:p>
      <w:pPr>
        <w:numPr>
          <w:ilvl w:val="0"/>
          <w:numId w:val="1002"/>
        </w:numPr>
        <w:pStyle w:val="Compact"/>
      </w:pPr>
      <w:r>
        <w:rPr>
          <w:bCs/>
          <w:b/>
        </w:rPr>
        <w:t xml:space="preserve">Regional Credentialing Variability:</w:t>
      </w:r>
      <w:r>
        <w:t xml:space="preserve"> </w:t>
      </w:r>
      <w:r>
        <w:t xml:space="preserve">Some Moscow districts require additional certification not recognized in other Russian regions. *Our solution:* Created a dedicated "Moscow Credential Hub" with 24/7 support for rapid document verification, resolving 98% of credential issues before contract signing.</w:t>
      </w:r>
    </w:p>
    <w:p>
      <w:pPr>
        <w:numPr>
          <w:ilvl w:val="0"/>
          <w:numId w:val="1002"/>
        </w:numPr>
        <w:pStyle w:val="Compact"/>
      </w:pPr>
      <w:r>
        <w:rPr>
          <w:bCs/>
          <w:b/>
        </w:rPr>
        <w:t xml:space="preserve">Teacher Retention Pressures:</w:t>
      </w:r>
      <w:r>
        <w:t xml:space="preserve"> </w:t>
      </w:r>
      <w:r>
        <w:t xml:space="preserve">Moscow's high cost of living causes 22% of teachers to seek relocation within first year. *Our solution:* Implemented our "Moscow Stability Package" including housing stipends (avg. $450/month) and career pathways through Moscow University partnerships, cutting attrition to 8%—vs. industry average of 31%.</w:t>
      </w:r>
    </w:p>
    <w:bookmarkEnd w:id="25"/>
    <w:bookmarkStart w:id="26" w:name="Xdcca1511e632b3bef6f65c34f57d55cfab9e403"/>
    <w:p>
      <w:pPr>
        <w:pStyle w:val="Heading2"/>
      </w:pPr>
      <w:r>
        <w:t xml:space="preserve">VII. Strategic Roadmap for Russia Moscow Market</w:t>
      </w:r>
    </w:p>
    <w:p>
      <w:pPr>
        <w:pStyle w:val="FirstParagraph"/>
      </w:pPr>
      <w:r>
        <w:t xml:space="preserve">Based on current sales momentum, we propose three immediate actions:</w:t>
      </w:r>
    </w:p>
    <w:p>
      <w:pPr>
        <w:numPr>
          <w:ilvl w:val="0"/>
          <w:numId w:val="1003"/>
        </w:numPr>
        <w:pStyle w:val="Compact"/>
      </w:pPr>
      <w:r>
        <w:rPr>
          <w:bCs/>
          <w:b/>
        </w:rPr>
        <w:t xml:space="preserve">Expand Moscow Special Education Training Center:</w:t>
      </w:r>
      <w:r>
        <w:t xml:space="preserve"> </w:t>
      </w:r>
      <w:r>
        <w:t xml:space="preserve">Allocate $750K to establish a physical training facility in Novokosino (Moscow), targeting 300 annual certified graduates. This will increase our direct supply of qualified Special Education Teacher candidates by 220%.</w:t>
      </w:r>
    </w:p>
    <w:p>
      <w:pPr>
        <w:numPr>
          <w:ilvl w:val="0"/>
          <w:numId w:val="1003"/>
        </w:numPr>
        <w:pStyle w:val="Compact"/>
      </w:pPr>
      <w:r>
        <w:rPr>
          <w:bCs/>
          <w:b/>
        </w:rPr>
        <w:t xml:space="preserve">Launch Moscow Inclusion Index:</w:t>
      </w:r>
      <w:r>
        <w:t xml:space="preserve"> </w:t>
      </w:r>
      <w:r>
        <w:t xml:space="preserve">Develop a proprietary analytics tool tracking district-specific disability support metrics, offering data-driven insights to municipal clients—projected to increase upsell revenue by $410K annually.</w:t>
      </w:r>
    </w:p>
    <w:p>
      <w:pPr>
        <w:numPr>
          <w:ilvl w:val="0"/>
          <w:numId w:val="1003"/>
        </w:numPr>
        <w:pStyle w:val="Compact"/>
      </w:pPr>
      <w:r>
        <w:rPr>
          <w:bCs/>
          <w:b/>
        </w:rPr>
        <w:t xml:space="preserve">Secure Partnership with Moscow State Pedagogical University:</w:t>
      </w:r>
      <w:r>
        <w:t xml:space="preserve"> </w:t>
      </w:r>
      <w:r>
        <w:t xml:space="preserve">Co-develop a Master's program in Special Education with Moscow accreditation, cementing our position as the sole provider of regionally recognized teacher training. This will secure 85% of municipal contract renewals through educational pipeline control.</w:t>
      </w:r>
    </w:p>
    <w:bookmarkEnd w:id="26"/>
    <w:bookmarkStart w:id="27" w:name="X0ceb84c7a4a3250ee03f13bb8662636a8355b49"/>
    <w:p>
      <w:pPr>
        <w:pStyle w:val="Heading2"/>
      </w:pPr>
      <w:r>
        <w:t xml:space="preserve">VIII. Conclusion: The Unmatched Value Proposition</w:t>
      </w:r>
    </w:p>
    <w:p>
      <w:pPr>
        <w:pStyle w:val="FirstParagraph"/>
      </w:pPr>
      <w:r>
        <w:t xml:space="preserve">The Russia Moscow market has proven that specialized, culturally embedded services for Special Education Teacher recruitment deliver extraordinary sales outcomes. Our compliance-driven approach—where every placement adheres to Moscow's unique educational regulations and cultural context—has created a 5x higher customer lifetime value than generic education staffing models. As federal mandates accelerate inclusive education across all Russian regions, Moscow remains our most strategic market due to its concentration of policy influence, funding capacity, and demand intensity.</w:t>
      </w:r>
    </w:p>
    <w:p>
      <w:pPr>
        <w:pStyle w:val="BodyText"/>
      </w:pPr>
      <w:r>
        <w:t xml:space="preserve">In closing, this Sales Report confirms that targeting the Russia Moscow market with a tailored Special Education Teacher solution is not merely profitable—it's essential for our global leadership in inclusive education. We recommend doubling our Moscow sales team allocation by Q1 2024 to capitalize on the $3.2M pipeline currently under active negotiation across municipal districts. The future of special education delivery in Russia starts with Moscow, and our service model is positioned to lead this transformation.</w:t>
      </w:r>
    </w:p>
    <w:p>
      <w:pPr>
        <w:pStyle w:val="BodyText"/>
      </w:pPr>
      <w:r>
        <w:rPr>
          <w:bCs/>
          <w:b/>
        </w:rPr>
        <w:t xml:space="preserve">Prepared By:</w:t>
      </w:r>
      <w:r>
        <w:t xml:space="preserve"> </w:t>
      </w:r>
      <w:r>
        <w:t xml:space="preserve">Global Education Solutions Sales Intelligence Unit</w:t>
      </w:r>
      <w:r>
        <w:br/>
      </w:r>
      <w:r>
        <w:rPr>
          <w:bCs/>
          <w:b/>
        </w:rPr>
        <w:t xml:space="preserve">Confidentiality Level:</w:t>
      </w:r>
      <w:r>
        <w:t xml:space="preserve"> </w:t>
      </w:r>
      <w:r>
        <w:t xml:space="preserve">Executive Use Only - Russia Moscow Market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Special Education Teacher Market Analysis - Russia Moscow</dc:title>
  <dc:creator/>
  <dc:language>en</dc:language>
  <cp:keywords/>
  <dcterms:created xsi:type="dcterms:W3CDTF">2026-07-24T03:50:55Z</dcterms:created>
  <dcterms:modified xsi:type="dcterms:W3CDTF">2026-07-24T03:50:55Z</dcterms:modified>
</cp:coreProperties>
</file>

<file path=docProps/custom.xml><?xml version="1.0" encoding="utf-8"?>
<Properties xmlns="http://schemas.openxmlformats.org/officeDocument/2006/custom-properties" xmlns:vt="http://schemas.openxmlformats.org/officeDocument/2006/docPropsVTypes"/>
</file>