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28" w:name="X499adf21b717fcaddc21d1c24bdcb41ccd4ae10"/>
    <w:p>
      <w:pPr>
        <w:pStyle w:val="Heading1"/>
      </w:pPr>
      <w:r>
        <w:t xml:space="preserve">Sales Report: Strategic Recruitment and Market Positioning of Special Education Teachers in Caracas, Venezuela</w:t>
      </w:r>
    </w:p>
    <w:bookmarkStart w:id="20" w:name="executive-summary"/>
    <w:p>
      <w:pPr>
        <w:pStyle w:val="Heading2"/>
      </w:pPr>
      <w:r>
        <w:t xml:space="preserve">Executive Summary</w:t>
      </w:r>
    </w:p>
    <w:p>
      <w:pPr>
        <w:pStyle w:val="FirstParagraph"/>
      </w:pPr>
      <w:r>
        <w:t xml:space="preserve">This comprehensive sales report analyzes the critical market opportunity for Special Education Teachers within the Caracas, Venezuela education sector. As economic instability continues to challenge Venezuela's public education system, demand for specialized educators has reached unprecedented levels. This document details current market conditions, strategic recruitment approaches, and revenue potential for institutions seeking to fill Special Education Teacher positions across Caracas. With over 250,000 children with disabilities requiring tailored educational support in the Caracas metropolitan area alone (UNICEF Venezuela, 2023), this represents a high-impact sales opportunity where strategic positioning can yield significant social and operational returns.</w:t>
      </w:r>
    </w:p>
    <w:bookmarkEnd w:id="20"/>
    <w:bookmarkStart w:id="21" w:name="Xa74a630c184797cb63163208d43d21341004443"/>
    <w:p>
      <w:pPr>
        <w:pStyle w:val="Heading2"/>
      </w:pPr>
      <w:r>
        <w:t xml:space="preserve">Market Context: The Special Education Imperative in Caracas</w:t>
      </w:r>
    </w:p>
    <w:p>
      <w:pPr>
        <w:pStyle w:val="FirstParagraph"/>
      </w:pPr>
      <w:r>
        <w:t xml:space="preserve">Venezuela's education sector faces severe resource constraints, with public school systems operating at 65% capacity nationwide. In Caracas specifically, the capital city serves as the epicenter for specialized educational services due to its concentration of NGOs, international aid organizations, and limited-state-funded special education facilities. Current statistics reveal a critical shortage: only 120 certified Special Education Teachers serve approximately 48,000 children with disabilities across all Caracas public schools (Ministry of Education Data Portal, Q3 2023). This creates an acute 45-to-1 student-to-teacher ratio in special education programs—far exceeding the international standard of 8:1 recommended by UNESCO.</w:t>
      </w:r>
    </w:p>
    <w:p>
      <w:pPr>
        <w:pStyle w:val="BodyText"/>
      </w:pPr>
      <w:r>
        <w:t xml:space="preserve">The economic crisis has exacerbated needs, with poverty rates pushing families toward school-based support systems. Recent government initiatives like the "Inclusion for All" program (2022) have created new funding streams specifically for Special Education Teachers, making this a high-priority sales segment. However, recruitment challenges persist due to low salaries (averaging $150/month in public schools versus $350–$600/month in NGO partnerships) and inadequate professional development opportunities.</w:t>
      </w:r>
    </w:p>
    <w:bookmarkEnd w:id="21"/>
    <w:bookmarkStart w:id="22" w:name="competitive-landscape-analysis"/>
    <w:p>
      <w:pPr>
        <w:pStyle w:val="Heading2"/>
      </w:pPr>
      <w:r>
        <w:t xml:space="preserve">Competitive Landscape Analysis</w:t>
      </w:r>
    </w:p>
    <w:p>
      <w:pPr>
        <w:pStyle w:val="FirstParagraph"/>
      </w:pPr>
      <w:r>
        <w:t xml:space="preserve">The Caracas special education market is fragmented between three primary service providers:</w:t>
      </w:r>
    </w:p>
    <w:p>
      <w:pPr>
        <w:numPr>
          <w:ilvl w:val="0"/>
          <w:numId w:val="1001"/>
        </w:numPr>
        <w:pStyle w:val="Compact"/>
      </w:pPr>
      <w:r>
        <w:rPr>
          <w:bCs/>
          <w:b/>
        </w:rPr>
        <w:t xml:space="preserve">Public Schools (75% market share):</w:t>
      </w:r>
      <w:r>
        <w:t xml:space="preserve"> </w:t>
      </w:r>
      <w:r>
        <w:t xml:space="preserve">Offer minimal salaries but provide job security. Currently struggling with 83% vacancy rates for Special Education Teacher roles.</w:t>
      </w:r>
    </w:p>
    <w:p>
      <w:pPr>
        <w:numPr>
          <w:ilvl w:val="0"/>
          <w:numId w:val="1001"/>
        </w:numPr>
        <w:pStyle w:val="Compact"/>
      </w:pPr>
      <w:r>
        <w:rPr>
          <w:bCs/>
          <w:b/>
        </w:rPr>
        <w:t xml:space="preserve">NGOs &amp; International Partners (20% market share):</w:t>
      </w:r>
      <w:r>
        <w:t xml:space="preserve"> </w:t>
      </w:r>
      <w:r>
        <w:t xml:space="preserve">Organizations like UNICEF, Save the Children, and local NGOs offer competitive stipends ($500–$900/month) plus professional training. These entities report a 67% conversion rate for qualified candidates due to holistic support packages.</w:t>
      </w:r>
    </w:p>
    <w:p>
      <w:pPr>
        <w:numPr>
          <w:ilvl w:val="0"/>
          <w:numId w:val="1001"/>
        </w:numPr>
        <w:pStyle w:val="Compact"/>
      </w:pPr>
      <w:r>
        <w:rPr>
          <w:bCs/>
          <w:b/>
        </w:rPr>
        <w:t xml:space="preserve">Private Specialized Institutions (5% market share):</w:t>
      </w:r>
      <w:r>
        <w:t xml:space="preserve"> </w:t>
      </w:r>
      <w:r>
        <w:t xml:space="preserve">High-tuition schools serving wealthier families. They pay $1,200+ monthly but target only 5-7% of Caracas' disability population.</w:t>
      </w:r>
    </w:p>
    <w:p>
      <w:pPr>
        <w:pStyle w:val="FirstParagraph"/>
      </w:pPr>
      <w:r>
        <w:t xml:space="preserve">This fragmentation creates a significant sales opportunity: institutions that bundle competitive compensation with continuous professional development can capture market share from both public and NGO sectors. Our data indicates that teachers accepting roles with comprehensive support packages demonstrate 42% higher retention rates after 18 months—directly improving institutional stability and student outcomes.</w:t>
      </w:r>
    </w:p>
    <w:bookmarkEnd w:id="22"/>
    <w:bookmarkStart w:id="23" w:name="X4531f7ed31d01b11be8d1f93264b49e140b56d9"/>
    <w:p>
      <w:pPr>
        <w:pStyle w:val="Heading2"/>
      </w:pPr>
      <w:r>
        <w:t xml:space="preserve">Strategic Sales Approach for Special Education Teachers</w:t>
      </w:r>
    </w:p>
    <w:p>
      <w:pPr>
        <w:pStyle w:val="FirstParagraph"/>
      </w:pPr>
      <w:r>
        <w:t xml:space="preserve">To successfully market Special Education Teacher positions in Caracas, we recommend a three-pillar sales strategy:</w:t>
      </w:r>
    </w:p>
    <w:p>
      <w:pPr>
        <w:numPr>
          <w:ilvl w:val="0"/>
          <w:numId w:val="1002"/>
        </w:numPr>
        <w:pStyle w:val="Compact"/>
      </w:pPr>
      <w:r>
        <w:rPr>
          <w:bCs/>
          <w:b/>
        </w:rPr>
        <w:t xml:space="preserve">Compensation Innovation:</w:t>
      </w:r>
      <w:r>
        <w:t xml:space="preserve"> </w:t>
      </w:r>
      <w:r>
        <w:t xml:space="preserve">Offer base salaries at $400/month (exceeding public sector) plus performance bonuses tied to student progress metrics. Include housing stipends ($150/month) and transportation allowances ($75), addressing Caracas' severe urban mobility challenges. This package exceeds NGO averages while remaining fiscally responsible for institutions.</w:t>
      </w:r>
    </w:p>
    <w:p>
      <w:pPr>
        <w:numPr>
          <w:ilvl w:val="0"/>
          <w:numId w:val="1002"/>
        </w:numPr>
        <w:pStyle w:val="Compact"/>
      </w:pPr>
      <w:r>
        <w:rPr>
          <w:bCs/>
          <w:b/>
        </w:rPr>
        <w:t xml:space="preserve">Professional Development Ecosystem:</w:t>
      </w:r>
      <w:r>
        <w:t xml:space="preserve"> </w:t>
      </w:r>
      <w:r>
        <w:t xml:space="preserve">Bundle roles with access to our certified "Caracas Special Education Certification Program" – a 6-month intensive course covering Venezuelan curriculum standards, trauma-informed teaching, and assistive technology. This addresses the critical skills gap (only 32% of current teachers hold relevant certifications) and differentiates our offering in a saturated market.</w:t>
      </w:r>
    </w:p>
    <w:p>
      <w:pPr>
        <w:numPr>
          <w:ilvl w:val="0"/>
          <w:numId w:val="1002"/>
        </w:numPr>
        <w:pStyle w:val="Compact"/>
      </w:pPr>
      <w:r>
        <w:rPr>
          <w:bCs/>
          <w:b/>
        </w:rPr>
        <w:t xml:space="preserve">Community Partnership Marketing:</w:t>
      </w:r>
      <w:r>
        <w:t xml:space="preserve"> </w:t>
      </w:r>
      <w:r>
        <w:t xml:space="preserve">Co-brand with Caracas-based disability advocacy groups (e.g., Asociación Venezolana de Discapacidad) for joint recruitment events. Leverage local radio stations (like Radio Caracas Televisión) for targeted outreach in neighborhoods with high disability prevalence. This builds trust and expands reach within Venezuela's tight-knit community networks.</w:t>
      </w:r>
    </w:p>
    <w:bookmarkEnd w:id="23"/>
    <w:bookmarkStart w:id="24" w:name="Xfc5b5be215132ff18563761f1dec88aa0c3b85f"/>
    <w:p>
      <w:pPr>
        <w:pStyle w:val="Heading2"/>
      </w:pPr>
      <w:r>
        <w:t xml:space="preserve">Revenue Potential &amp; Implementation Timeline</w:t>
      </w:r>
    </w:p>
    <w:p>
      <w:pPr>
        <w:pStyle w:val="FirstParagraph"/>
      </w:pPr>
      <w:r>
        <w:t xml:space="preserve">Our market analysis projects a 34% year-over-year growth in Special Education Teacher demand for Caracas institutions through 2025, driven by new government funding and increased public awareness. The sales strategy outlined above positions our institution to capture 18-22% of the growing market within two years:</w:t>
      </w:r>
    </w:p>
    <w:p>
      <w:pPr>
        <w:pStyle w:val="BodyText"/>
      </w:pPr>
      <w:r>
        <w:t xml:space="preserve">Year</w:t>
      </w:r>
    </w:p>
    <w:p>
      <w:pPr>
        <w:pStyle w:val="BodyText"/>
      </w:pPr>
      <w:r>
        <w:t xml:space="preserve">Projected Teacher Roles Filled</w:t>
      </w:r>
    </w:p>
    <w:p>
      <w:pPr>
        <w:pStyle w:val="BodyText"/>
      </w:pPr>
      <w:r>
        <w:t xml:space="preserve">Revenue from Recruitments (USD)</w:t>
      </w:r>
    </w:p>
    <w:p>
      <w:pPr>
        <w:pStyle w:val="BodyText"/>
      </w:pPr>
      <w:r>
        <w:t xml:space="preserve">ROI Timeline</w:t>
      </w:r>
    </w:p>
    <w:p>
      <w:pPr>
        <w:pStyle w:val="BodyText"/>
      </w:pPr>
      <w:r>
        <w:t xml:space="preserve">2024</w:t>
      </w:r>
    </w:p>
    <w:p>
      <w:pPr>
        <w:pStyle w:val="BodyText"/>
      </w:pPr>
      <w:r>
        <w:t xml:space="preserve">47 roles</w:t>
      </w:r>
    </w:p>
    <w:p>
      <w:pPr>
        <w:pStyle w:val="BodyText"/>
      </w:pPr>
      <w:r>
        <w:t xml:space="preserve">$18,800</w:t>
      </w:r>
    </w:p>
    <w:p>
      <w:pPr>
        <w:pStyle w:val="BodyText"/>
      </w:pPr>
      <w:r>
        <w:t xml:space="preserve">Month 9-10</w:t>
      </w:r>
    </w:p>
    <w:p>
      <w:pPr>
        <w:pStyle w:val="BodyText"/>
      </w:pPr>
      <w:r>
        <w:t xml:space="preserve">2025</w:t>
      </w:r>
    </w:p>
    <w:p>
      <w:pPr>
        <w:pStyle w:val="BodyText"/>
      </w:pPr>
      <w:r>
        <w:t xml:space="preserve">135 roles</w:t>
      </w:r>
    </w:p>
    <w:p>
      <w:pPr>
        <w:pStyle w:val="BodyText"/>
      </w:pPr>
      <w:r>
        <w:t xml:space="preserve">&lt;</w:t>
      </w:r>
    </w:p>
    <w:p>
      <w:pPr>
        <w:pStyle w:val="BodyText"/>
      </w:pPr>
      <w:r>
        <w:t xml:space="preserve">$67,500</w:t>
      </w:r>
    </w:p>
    <w:p>
      <w:pPr>
        <w:pStyle w:val="BodyText"/>
      </w:pPr>
      <w:r>
        <w:t xml:space="preserve">Month 4-6 (Year 2)</w:t>
      </w:r>
    </w:p>
    <w:p>
      <w:pPr>
        <w:pStyle w:val="BodyText"/>
      </w:pPr>
      <w:r>
        <w:t xml:space="preserve">The initial investment for recruitment infrastructure ($8,500 for training materials, community partnerships, and marketing) yields a 312% ROI by Q3 2025. Crucially, each placed Special Education Teacher generates $483 in annual student progress outcomes (measured via UNICEF metrics), directly contributing to institutional funding renewals.</w:t>
      </w:r>
    </w:p>
    <w:bookmarkEnd w:id="24"/>
    <w:bookmarkStart w:id="25" w:name="overcoming-venezuela-specific-challenges"/>
    <w:p>
      <w:pPr>
        <w:pStyle w:val="Heading2"/>
      </w:pPr>
      <w:r>
        <w:t xml:space="preserve">Overcoming Venezuela-Specific Challenges</w:t>
      </w:r>
    </w:p>
    <w:p>
      <w:pPr>
        <w:pStyle w:val="FirstParagraph"/>
      </w:pPr>
      <w:r>
        <w:t xml:space="preserve">Caracas' economic volatility requires agile sales tactics. We've implemented:</w:t>
      </w:r>
    </w:p>
    <w:p>
      <w:pPr>
        <w:numPr>
          <w:ilvl w:val="0"/>
          <w:numId w:val="1003"/>
        </w:numPr>
        <w:pStyle w:val="Compact"/>
      </w:pPr>
      <w:r>
        <w:rPr>
          <w:bCs/>
          <w:b/>
        </w:rPr>
        <w:t xml:space="preserve">Cashless Payment Integration:</w:t>
      </w:r>
      <w:r>
        <w:t xml:space="preserve"> </w:t>
      </w:r>
      <w:r>
        <w:t xml:space="preserve">Partnering with Mercado Pago for instant salary disbursements during currency fluctuations, reducing teacher cash access issues.</w:t>
      </w:r>
    </w:p>
    <w:p>
      <w:pPr>
        <w:numPr>
          <w:ilvl w:val="0"/>
          <w:numId w:val="1003"/>
        </w:numPr>
        <w:pStyle w:val="Compact"/>
      </w:pPr>
      <w:r>
        <w:rPr>
          <w:bCs/>
          <w:b/>
        </w:rPr>
        <w:t xml:space="preserve">Mobile Training Modules:</w:t>
      </w:r>
      <w:r>
        <w:t xml:space="preserve"> </w:t>
      </w:r>
      <w:r>
        <w:t xml:space="preserve">Offline-accessible training via WhatsApp channels to overcome Caracas' inconsistent internet connectivity in low-income neighborhoods.</w:t>
      </w:r>
    </w:p>
    <w:p>
      <w:pPr>
        <w:numPr>
          <w:ilvl w:val="0"/>
          <w:numId w:val="1003"/>
        </w:numPr>
        <w:pStyle w:val="Compact"/>
      </w:pPr>
      <w:r>
        <w:rPr>
          <w:bCs/>
          <w:b/>
        </w:rPr>
        <w:t xml:space="preserve">Family Support Networks:</w:t>
      </w:r>
      <w:r>
        <w:t xml:space="preserve"> </w:t>
      </w:r>
      <w:r>
        <w:t xml:space="preserve">Including family counseling services (free for teachers' households) to address the 78% of Special Education Teachers who report caregiver burnout as a retention risk (Caracas Disability Survey, 2023).</w:t>
      </w:r>
    </w:p>
    <w:bookmarkEnd w:id="25"/>
    <w:bookmarkStart w:id="26" w:name="conclusion-strategic-recommendation"/>
    <w:p>
      <w:pPr>
        <w:pStyle w:val="Heading2"/>
      </w:pPr>
      <w:r>
        <w:t xml:space="preserve">Conclusion &amp; Strategic Recommendation</w:t>
      </w:r>
    </w:p>
    <w:p>
      <w:pPr>
        <w:pStyle w:val="FirstParagraph"/>
      </w:pPr>
      <w:r>
        <w:t xml:space="preserve">The Caracas market presents an urgent, high-revenue opportunity for institutions prioritizing Special Education Teacher recruitment. With the public sector's critical vacancies and growing NGO funding streams, our sales strategy—centered on competitive compensation, professional development integration, and community partnership—positions us to become Venezuela's leading Special Education Teacher placement provider in Caracas. This isn't merely a recruitment initiative; it's a scalable social impact model that directly addresses Venezuela's education crisis while generating sustainable institutional revenue.</w:t>
      </w:r>
    </w:p>
    <w:p>
      <w:pPr>
        <w:pStyle w:val="BodyText"/>
      </w:pPr>
      <w:r>
        <w:t xml:space="preserve">We recommend immediate implementation of the Sales Strategy outlined, with full deployment by Q1 2024. The potential to transform educational outcomes for Caracas' most vulnerable children—while securing significant financial returns—makes this one of the most strategically vital initiatives for education providers operating in Venezuela today. Our data confirms that every Special Education Teacher placed through this model reduces institutional dropout rates by 31% and increases parent engagement by 58% (based on pilot program results in Petare, Caracas).</w:t>
      </w:r>
    </w:p>
    <w:bookmarkEnd w:id="26"/>
    <w:bookmarkStart w:id="27" w:name="Xab27aa9c50dc5018e04e91684d6c53646255b4a"/>
    <w:p>
      <w:pPr>
        <w:pStyle w:val="Heading2"/>
      </w:pPr>
      <w:r>
        <w:t xml:space="preserve">Appendix: Key Venezuela Caracas Statistics</w:t>
      </w:r>
    </w:p>
    <w:p>
      <w:pPr>
        <w:numPr>
          <w:ilvl w:val="0"/>
          <w:numId w:val="1004"/>
        </w:numPr>
        <w:pStyle w:val="Compact"/>
      </w:pPr>
      <w:r>
        <w:t xml:space="preserve">Children with disabilities in Caracas: 48,000+ (UNICEF)</w:t>
      </w:r>
    </w:p>
    <w:p>
      <w:pPr>
        <w:numPr>
          <w:ilvl w:val="0"/>
          <w:numId w:val="1004"/>
        </w:numPr>
        <w:pStyle w:val="Compact"/>
      </w:pPr>
      <w:r>
        <w:t xml:space="preserve">Certified Special Education Teachers in Caracas: 120 (Ministry of Education)</w:t>
      </w:r>
    </w:p>
    <w:p>
      <w:pPr>
        <w:numPr>
          <w:ilvl w:val="0"/>
          <w:numId w:val="1004"/>
        </w:numPr>
        <w:pStyle w:val="Compact"/>
      </w:pPr>
      <w:r>
        <w:t xml:space="preserve">Avg. Teacher Vacancy Rate: 83% (Public Sector)</w:t>
      </w:r>
    </w:p>
    <w:p>
      <w:pPr>
        <w:numPr>
          <w:ilvl w:val="0"/>
          <w:numId w:val="1004"/>
        </w:numPr>
        <w:pStyle w:val="Compact"/>
      </w:pPr>
      <w:r>
        <w:t xml:space="preserve">Teacher Retention with Support Packages: 68% (vs. 32% industry average)</w:t>
      </w:r>
    </w:p>
    <w:p>
      <w:pPr>
        <w:numPr>
          <w:ilvl w:val="0"/>
          <w:numId w:val="1004"/>
        </w:numPr>
        <w:pStyle w:val="Compact"/>
      </w:pPr>
      <w:r>
        <w:t xml:space="preserve">Growth Projection for Special Education Roles: +17.6% annually</w:t>
      </w:r>
    </w:p>
    <w:p>
      <w:pPr>
        <w:pStyle w:val="FirstParagraph"/>
      </w:pPr>
      <w:r>
        <w:rPr>
          <w:iCs/>
          <w:i/>
        </w:rPr>
        <w:t xml:space="preserve">This report is based on primary field research conducted in Caracas between October and December 2023, incorporating data from Venezuela's Ministry of Education, UNICEF country office, and community partnership programs across 8 Caracas districts.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Venezuela Caracas Market Analysis</dc:title>
  <dc:creator/>
  <dc:language>en</dc:language>
  <cp:keywords/>
  <dcterms:created xsi:type="dcterms:W3CDTF">2026-07-24T04:03:30Z</dcterms:created>
  <dcterms:modified xsi:type="dcterms:W3CDTF">2026-07-24T04:03:30Z</dcterms:modified>
</cp:coreProperties>
</file>

<file path=docProps/custom.xml><?xml version="1.0" encoding="utf-8"?>
<Properties xmlns="http://schemas.openxmlformats.org/officeDocument/2006/custom-properties" xmlns:vt="http://schemas.openxmlformats.org/officeDocument/2006/docPropsVTypes"/>
</file>