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Iran</w:t>
      </w:r>
      <w:r>
        <w:t xml:space="preserve"> </w:t>
      </w:r>
      <w:r>
        <w:t xml:space="preserve">Tehran</w:t>
      </w:r>
    </w:p>
    <w:bookmarkStart w:id="27" w:name="Xf9c142aa916a6c95a0ddd531ce06fbef519dddd"/>
    <w:p>
      <w:pPr>
        <w:pStyle w:val="Heading1"/>
      </w:pPr>
      <w:r>
        <w:t xml:space="preserve">Sales Report: Speech Therapy Market Analysis and Performance in Iran Tehran (2023)</w:t>
      </w:r>
    </w:p>
    <w:bookmarkStart w:id="20" w:name="introduction"/>
    <w:p>
      <w:pPr>
        <w:pStyle w:val="Heading2"/>
      </w:pPr>
      <w:r>
        <w:t xml:space="preserve">Introduction</w:t>
      </w:r>
    </w:p>
    <w:p>
      <w:pPr>
        <w:pStyle w:val="FirstParagraph"/>
      </w:pPr>
      <w:r>
        <w:t xml:space="preserve">This comprehensive Sales Report details the performance, market dynamics, and strategic outlook for Speech Therapist services within the healthcare ecosystem of Iran Tehran. As urbanization accelerates and awareness of communication disorders grows, Tehran's demand for specialized speech therapy has surged by 37% year-on-year. This report evaluates our agency's sales trajectory in providing certified Speech Therapist professionals to hospitals, private clinics, and educational institutions across the capital city. The data underscores a critical market opportunity where quality Speech Therapist services directly correlate with increased client retention and revenue growth for healthcare providers in Iran Tehran.</w:t>
      </w:r>
    </w:p>
    <w:bookmarkEnd w:id="20"/>
    <w:bookmarkStart w:id="21" w:name="Xbe4e493838682eb675468198886d441836f6545"/>
    <w:p>
      <w:pPr>
        <w:pStyle w:val="Heading2"/>
      </w:pPr>
      <w:r>
        <w:t xml:space="preserve">Market Context: Demand Drivers in Iran Tehran</w:t>
      </w:r>
    </w:p>
    <w:p>
      <w:pPr>
        <w:pStyle w:val="FirstParagraph"/>
      </w:pPr>
      <w:r>
        <w:t xml:space="preserve">Tehran's population of 9 million residents faces unique communication health challenges exacerbated by environmental factors (air pollution linked to speech disorders) and rising neurodevelopmental conditions. According to the Iranian Ministry of Health, 18% of Tehran children exhibit speech delays—up from 12% in 2020—creating an urgent need for certified Speech Therapists. Our sales data confirms this trend: private clinics in central Tehran (e.g., Shemiran, Velenjak) report a 65% increase in pediatric therapy referrals since Q1 2023. Crucially, our agency's ability to deploy licensed Speech Therapists within 72 hours of contract signing has become a key differentiator against competitors. In Iran Tehran's competitive healthcare landscape, this rapid deployment capability directly translates to higher sales conversion rates and client satisfaction scores exceeding industry benchmarks by 41%.</w:t>
      </w:r>
    </w:p>
    <w:bookmarkEnd w:id="21"/>
    <w:bookmarkStart w:id="22" w:name="X8d371779a8f51bcff127a9de63259e468035a9d"/>
    <w:p>
      <w:pPr>
        <w:pStyle w:val="Heading2"/>
      </w:pPr>
      <w:r>
        <w:t xml:space="preserve">Sales Performance: Revenue Streams &amp; Client Acquisition</w:t>
      </w:r>
    </w:p>
    <w:p>
      <w:pPr>
        <w:pStyle w:val="FirstParagraph"/>
      </w:pPr>
      <w:r>
        <w:t xml:space="preserve">Our Q3 2023 sales metrics reveal robust growth across three primary segments:</w:t>
      </w:r>
    </w:p>
    <w:p>
      <w:pPr>
        <w:numPr>
          <w:ilvl w:val="0"/>
          <w:numId w:val="1001"/>
        </w:numPr>
        <w:pStyle w:val="Compact"/>
      </w:pPr>
      <w:r>
        <w:rPr>
          <w:bCs/>
          <w:b/>
        </w:rPr>
        <w:t xml:space="preserve">Pediatric Services (45% of revenue):</w:t>
      </w:r>
      <w:r>
        <w:t xml:space="preserve"> </w:t>
      </w:r>
      <w:r>
        <w:t xml:space="preserve">Partnerships with Tehran's top schools (e.g., Farzanegan, Alborz) generated $187,000 in contracts. Speech Therapist specialists working in these institutions reported a 29% client retention rate—significantly higher than the national average of 18%. Key to this success was our localized training program addressing Farsi-specific speech challenges.</w:t>
      </w:r>
    </w:p>
    <w:p>
      <w:pPr>
        <w:numPr>
          <w:ilvl w:val="0"/>
          <w:numId w:val="1001"/>
        </w:numPr>
        <w:pStyle w:val="Compact"/>
      </w:pPr>
      <w:r>
        <w:rPr>
          <w:bCs/>
          <w:b/>
        </w:rPr>
        <w:t xml:space="preserve">Neurological Rehabilitation (35% of revenue):</w:t>
      </w:r>
      <w:r>
        <w:t xml:space="preserve"> </w:t>
      </w:r>
      <w:r>
        <w:t xml:space="preserve">Collaborations with Tehran Heart Center and Milad Hospital secured $215,000 in annual contracts. Stroke rehabilitation programs featuring certified Speech Therapists achieved 92% patient progress tracking compliance—directly boosting hospital referral volumes.</w:t>
      </w:r>
    </w:p>
    <w:p>
      <w:pPr>
        <w:numPr>
          <w:ilvl w:val="0"/>
          <w:numId w:val="1001"/>
        </w:numPr>
        <w:pStyle w:val="Compact"/>
      </w:pPr>
      <w:r>
        <w:rPr>
          <w:bCs/>
          <w:b/>
        </w:rPr>
        <w:t xml:space="preserve">Corporate Wellness (20% of revenue):</w:t>
      </w:r>
      <w:r>
        <w:t xml:space="preserve"> </w:t>
      </w:r>
      <w:r>
        <w:t xml:space="preserve">New B2B contracts with Tehran tech hubs (e.g., Sharif University, Digikala) added $98,000. Executive voice therapy for business leaders in Iran Tehran emerged as a high-margin service due to demand for public speaking training in Persian business culture.</w:t>
      </w:r>
    </w:p>
    <w:p>
      <w:pPr>
        <w:pStyle w:val="FirstParagraph"/>
      </w:pPr>
      <w:r>
        <w:t xml:space="preserve">Notably, our sales conversion rate for Speech Therapist services reached 73%—far exceeding the healthcare sector average of 52%. This success stems from our tailored pitch emphasizing how qualified Speech Therapists reduce hospital readmission rates by 22%, a critical metric for Tehran healthcare administrators under budget constraints.</w:t>
      </w:r>
    </w:p>
    <w:bookmarkEnd w:id="22"/>
    <w:bookmarkStart w:id="23" w:name="Xad63b1ba1e56cf42237d6a28dc4e924fe3b880e"/>
    <w:p>
      <w:pPr>
        <w:pStyle w:val="Heading2"/>
      </w:pPr>
      <w:r>
        <w:t xml:space="preserve">Regional Sales Insights: Tehran District Breakdown</w:t>
      </w:r>
    </w:p>
    <w:p>
      <w:pPr>
        <w:pStyle w:val="FirstParagraph"/>
      </w:pPr>
      <w:r>
        <w:t xml:space="preserve">Sales performance varies significantly across Tehran's administrative zones, reflecting socioeconomic diversity: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Tehran District</w:t>
            </w:r>
          </w:p>
        </w:tc>
        <w:tc>
          <w:tcPr/>
          <w:p>
            <w:pPr>
              <w:pStyle w:val="Compact"/>
              <w:jc w:val="left"/>
            </w:pPr>
            <w:r>
              <w:t xml:space="preserve">Annual Sales Volume</w:t>
            </w:r>
          </w:p>
        </w:tc>
        <w:tc>
          <w:tcPr/>
          <w:p>
            <w:pPr>
              <w:pStyle w:val="Compact"/>
              <w:jc w:val="left"/>
            </w:pPr>
            <w:r>
              <w:t xml:space="preserve">Primary Client Type</w:t>
            </w:r>
          </w:p>
        </w:tc>
        <w:tc>
          <w:tcPr/>
          <w:p>
            <w:pPr>
              <w:pStyle w:val="Compact"/>
              <w:jc w:val="left"/>
            </w:pPr>
            <w:r>
              <w:t xml:space="preserve">Growth Rate (YoY)</w:t>
            </w:r>
          </w:p>
        </w:tc>
      </w:tr>
      <w:tr>
        <w:tc>
          <w:tcPr/>
          <w:p>
            <w:pPr>
              <w:pStyle w:val="Compact"/>
              <w:jc w:val="left"/>
            </w:pPr>
            <w:r>
              <w:t xml:space="preserve">Velenjak (Elite Residential)</w:t>
            </w:r>
          </w:p>
        </w:tc>
        <w:tc>
          <w:tcPr/>
          <w:p>
            <w:pPr>
              <w:pStyle w:val="Compact"/>
              <w:jc w:val="left"/>
            </w:pPr>
            <w:r>
              <w:t xml:space="preserve">$142,000</w:t>
            </w:r>
          </w:p>
        </w:tc>
        <w:tc>
          <w:tcPr/>
          <w:p>
            <w:pPr>
              <w:pStyle w:val="Compact"/>
              <w:jc w:val="left"/>
            </w:pPr>
            <w:r>
              <w:t xml:space="preserve">Private Clinics</w:t>
            </w:r>
          </w:p>
        </w:tc>
        <w:tc>
          <w:tcPr/>
          <w:p>
            <w:pPr>
              <w:pStyle w:val="Compact"/>
              <w:jc w:val="left"/>
            </w:pPr>
            <w:r>
              <w:t xml:space="preserve">51%</w:t>
            </w:r>
          </w:p>
        </w:tc>
      </w:tr>
      <w:tr>
        <w:tc>
          <w:tcPr/>
          <w:p>
            <w:pPr>
              <w:pStyle w:val="Compact"/>
              <w:jc w:val="left"/>
            </w:pPr>
            <w:r>
              <w:t xml:space="preserve">Namazi (Mid-Income)</w:t>
            </w:r>
          </w:p>
        </w:tc>
        <w:tc>
          <w:tcPr/>
          <w:p>
            <w:pPr>
              <w:pStyle w:val="Compact"/>
              <w:jc w:val="left"/>
            </w:pPr>
            <w:r>
              <w:t xml:space="preserve">$98,500</w:t>
            </w:r>
          </w:p>
        </w:tc>
        <w:tc>
          <w:tcPr/>
          <w:p>
            <w:pPr>
              <w:pStyle w:val="Compact"/>
              <w:jc w:val="left"/>
            </w:pPr>
            <w:r>
              <w:t xml:space="preserve">Public Hospitals</w:t>
            </w:r>
          </w:p>
        </w:tc>
        <w:tc>
          <w:tcPr/>
          <w:p>
            <w:pPr>
              <w:pStyle w:val="Compact"/>
              <w:jc w:val="left"/>
            </w:pPr>
            <w:r>
              <w:t xml:space="preserve">33%</w:t>
            </w:r>
          </w:p>
        </w:tc>
      </w:tr>
      <w:tr>
        <w:tc>
          <w:tcPr/>
          <w:p>
            <w:pPr>
              <w:pStyle w:val="Compact"/>
              <w:jc w:val="left"/>
            </w:pPr>
            <w:r>
              <w:t xml:space="preserve">Gholhak (Low-Income)</w:t>
            </w:r>
          </w:p>
        </w:tc>
        <w:tc>
          <w:tcPr/>
          <w:p>
            <w:pPr>
              <w:pStyle w:val="Compact"/>
              <w:jc w:val="left"/>
            </w:pPr>
            <w:r>
              <w:t xml:space="preserve">$47,200</w:t>
            </w:r>
          </w:p>
        </w:tc>
        <w:tc>
          <w:tcPr/>
          <w:p>
            <w:pPr>
              <w:pStyle w:val="Compact"/>
              <w:jc w:val="left"/>
            </w:pPr>
            <w:r>
              <w:t xml:space="preserve">NGOs &amp; Community Centers</w:t>
            </w:r>
          </w:p>
        </w:tc>
        <w:tc>
          <w:tcPr/>
          <w:p>
            <w:pPr>
              <w:pStyle w:val="Compact"/>
              <w:jc w:val="left"/>
            </w:pPr>
            <w:r>
              <w:t xml:space="preserve">19%</w:t>
            </w:r>
          </w:p>
        </w:tc>
      </w:tr>
    </w:tbl>
    <w:p>
      <w:pPr>
        <w:pStyle w:val="BodyText"/>
      </w:pPr>
      <w:r>
        <w:t xml:space="preserve">The Velenjak district's 51% growth demonstrates premium demand for specialized Speech Therapist services among Tehran's affluent demographic. Conversely, Gholhak's slower growth highlights the need for subsidized Speech Therapist outreach programs to expand market penetration in underserved areas—a strategic focus for our 2024 sales initiative.</w:t>
      </w:r>
    </w:p>
    <w:bookmarkEnd w:id="23"/>
    <w:bookmarkStart w:id="24" w:name="challenges-strategic-countermeasures"/>
    <w:p>
      <w:pPr>
        <w:pStyle w:val="Heading2"/>
      </w:pPr>
      <w:r>
        <w:t xml:space="preserve">Challenges &amp; Strategic Countermeasures</w:t>
      </w:r>
    </w:p>
    <w:p>
      <w:pPr>
        <w:pStyle w:val="FirstParagraph"/>
      </w:pPr>
      <w:r>
        <w:t xml:space="preserve">Three key challenges emerged during our Iran Tehran operations:</w:t>
      </w:r>
    </w:p>
    <w:p>
      <w:pPr>
        <w:numPr>
          <w:ilvl w:val="0"/>
          <w:numId w:val="1002"/>
        </w:numPr>
        <w:pStyle w:val="Compact"/>
      </w:pPr>
      <w:r>
        <w:rPr>
          <w:iCs/>
          <w:i/>
        </w:rPr>
        <w:t xml:space="preserve">Certification Bottlenecks:</w:t>
      </w:r>
      <w:r>
        <w:t xml:space="preserve"> </w:t>
      </w:r>
      <w:r>
        <w:t xml:space="preserve">Only 1,800 nationally certified Speech Therapists serve Tehran's 4.3 million school-aged children. Our sales team mitigated this by establishing a joint training program with Tehran University of Medical Sciences, increasing qualified candidates by 22%.</w:t>
      </w:r>
    </w:p>
    <w:p>
      <w:pPr>
        <w:numPr>
          <w:ilvl w:val="0"/>
          <w:numId w:val="1002"/>
        </w:numPr>
        <w:pStyle w:val="Compact"/>
      </w:pPr>
      <w:r>
        <w:rPr>
          <w:iCs/>
          <w:i/>
        </w:rPr>
        <w:t xml:space="preserve">Cultural Misalignment:</w:t>
      </w:r>
      <w:r>
        <w:t xml:space="preserve"> </w:t>
      </w:r>
      <w:r>
        <w:t xml:space="preserve">Initial resistance from traditional healthcare providers to evidence-based speech therapy. Solution: We created culturally tailored case studies featuring Farsi-speaking Speech Therapists, increasing sales pipeline conversions by 38%.</w:t>
      </w:r>
    </w:p>
    <w:p>
      <w:pPr>
        <w:numPr>
          <w:ilvl w:val="0"/>
          <w:numId w:val="1002"/>
        </w:numPr>
        <w:pStyle w:val="Compact"/>
      </w:pPr>
      <w:r>
        <w:rPr>
          <w:iCs/>
          <w:i/>
        </w:rPr>
        <w:t xml:space="preserve">Logistics in Tehran Traffic:</w:t>
      </w:r>
      <w:r>
        <w:t xml:space="preserve"> </w:t>
      </w:r>
      <w:r>
        <w:t xml:space="preserve">High commute times for Speech Therapists impacted service reliability. Our investment in a fleet of electric scooters for therapists reduced late arrivals by 67%, directly improving client retention.</w:t>
      </w:r>
    </w:p>
    <w:bookmarkEnd w:id="24"/>
    <w:bookmarkStart w:id="25" w:name="growth-opportunities-for-2024"/>
    <w:p>
      <w:pPr>
        <w:pStyle w:val="Heading2"/>
      </w:pPr>
      <w:r>
        <w:t xml:space="preserve">Growth Opportunities for 2024</w:t>
      </w:r>
    </w:p>
    <w:p>
      <w:pPr>
        <w:pStyle w:val="FirstParagraph"/>
      </w:pPr>
      <w:r>
        <w:t xml:space="preserve">Based on this Sales Report, we identify three high-potential avenues:</w:t>
      </w:r>
    </w:p>
    <w:p>
      <w:pPr>
        <w:numPr>
          <w:ilvl w:val="0"/>
          <w:numId w:val="1003"/>
        </w:numPr>
        <w:pStyle w:val="Compact"/>
      </w:pPr>
      <w:r>
        <w:rPr>
          <w:bCs/>
          <w:b/>
        </w:rPr>
        <w:t xml:space="preserve">Teletherapy Expansion:</w:t>
      </w:r>
      <w:r>
        <w:t xml:space="preserve"> </w:t>
      </w:r>
      <w:r>
        <w:t xml:space="preserve">Partnering with Tehran-based health apps (e.g., Tamin) to offer virtual Speech Therapist consultations—projected to capture 15% of the $3.2M untapped telehealth market.</w:t>
      </w:r>
    </w:p>
    <w:p>
      <w:pPr>
        <w:numPr>
          <w:ilvl w:val="0"/>
          <w:numId w:val="1003"/>
        </w:numPr>
        <w:pStyle w:val="Compact"/>
      </w:pPr>
      <w:r>
        <w:rPr>
          <w:bCs/>
          <w:b/>
        </w:rPr>
        <w:t xml:space="preserve">Specialized Pediatric Programs:</w:t>
      </w:r>
      <w:r>
        <w:t xml:space="preserve"> </w:t>
      </w:r>
      <w:r>
        <w:t xml:space="preserve">Developing a dyslexia-focused Speech Therapist curriculum targeting Tehran's private schools, where 68% of parents seek early intervention.</w:t>
      </w:r>
    </w:p>
    <w:p>
      <w:pPr>
        <w:numPr>
          <w:ilvl w:val="0"/>
          <w:numId w:val="1003"/>
        </w:numPr>
        <w:pStyle w:val="Compact"/>
      </w:pPr>
      <w:r>
        <w:rPr>
          <w:bCs/>
          <w:b/>
        </w:rPr>
        <w:t xml:space="preserve">Government Tender Strategy:</w:t>
      </w:r>
      <w:r>
        <w:t xml:space="preserve"> </w:t>
      </w:r>
      <w:r>
        <w:t xml:space="preserve">Pursuing the Ministry of Health's new "Rural Speech Access Initiative" to deploy mobile Speech Therapist units in peri-Tehran districts like Shemiranat, with $2.1M in allocated funding.</w:t>
      </w:r>
    </w:p>
    <w:bookmarkEnd w:id="25"/>
    <w:bookmarkStart w:id="26" w:name="conclusion"/>
    <w:p>
      <w:pPr>
        <w:pStyle w:val="Heading2"/>
      </w:pPr>
      <w:r>
        <w:t xml:space="preserve">Conclusion</w:t>
      </w:r>
    </w:p>
    <w:p>
      <w:pPr>
        <w:pStyle w:val="FirstParagraph"/>
      </w:pPr>
      <w:r>
        <w:t xml:space="preserve">This Sales Report unequivocally positions the Iran Tehran market as a high-growth frontier for Speech Therapist services. Our agency's revenue from Speech Therapist deployments has grown by 49% YoY, outperforming sector averages through strategic localization and rapid service delivery. To sustain this momentum, we recommend prioritizing: (1) expanding certified Speech Therapist recruitment in Tehran universities, (2) developing district-specific sales packages for Tehran's diverse healthcare landscape, and (3) leveraging digital tools to overcome Tehran's infrastructure challenges. As the demand for qualified Speech Therapists continues its upward trajectory in Iran's capital, our data confirms that investing in this specialty is not merely strategic—it is essential to capturing the next wave of healthcare growth in Tehran.</w:t>
      </w:r>
    </w:p>
    <w:p>
      <w:pPr>
        <w:pStyle w:val="BodyText"/>
      </w:pPr>
      <w:r>
        <w:rPr>
          <w:iCs/>
          <w:i/>
        </w:rPr>
        <w:t xml:space="preserve">Report Prepared By: International Healthcare Solutions Division • Date: October 26, 2023 • Confidential for Sales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Iran Tehran</dc:title>
  <dc:creator/>
  <dc:language>en</dc:language>
  <cp:keywords/>
  <dcterms:created xsi:type="dcterms:W3CDTF">2026-07-22T15:36:43Z</dcterms:created>
  <dcterms:modified xsi:type="dcterms:W3CDTF">2026-07-22T15:36:43Z</dcterms:modified>
</cp:coreProperties>
</file>

<file path=docProps/custom.xml><?xml version="1.0" encoding="utf-8"?>
<Properties xmlns="http://schemas.openxmlformats.org/officeDocument/2006/custom-properties" xmlns:vt="http://schemas.openxmlformats.org/officeDocument/2006/docPropsVTypes"/>
</file>