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Moscow</w:t>
      </w:r>
      <w:r>
        <w:t xml:space="preserve"> </w:t>
      </w:r>
      <w:r>
        <w:t xml:space="preserve">Market</w:t>
      </w:r>
      <w:r>
        <w:t xml:space="preserve"> </w:t>
      </w:r>
      <w:r>
        <w:t xml:space="preserve">Analysis</w:t>
      </w:r>
    </w:p>
    <w:bookmarkStart w:id="28" w:name="X66283b6c36d41bc2309f2072a9170fb19d292f8"/>
    <w:p>
      <w:pPr>
        <w:pStyle w:val="Heading1"/>
      </w:pPr>
      <w:r>
        <w:t xml:space="preserve">Sales Report: Speech Therapist Services in Russia Moscow (Q3 2023)</w:t>
      </w:r>
    </w:p>
    <w:bookmarkStart w:id="20" w:name="executive-summary"/>
    <w:p>
      <w:pPr>
        <w:pStyle w:val="Heading2"/>
      </w:pPr>
      <w:r>
        <w:t xml:space="preserve">Executive Summary</w:t>
      </w:r>
    </w:p>
    <w:p>
      <w:pPr>
        <w:pStyle w:val="FirstParagraph"/>
      </w:pPr>
      <w:r>
        <w:t xml:space="preserve">This comprehensive Sales Report examines the performance and market dynamics of Speech Therapist services within Russia Moscow during the third quarter of 2023. The report confirms significant growth in demand for specialized speech therapy solutions, driven by rising awareness of communication disorders and expanded healthcare access in metropolitan centers. As Moscow's largest economic hub, this market represents a critical revenue stream for healthcare service providers, with current sales exceeding previous annual projections by 37%. The findings underscore the strategic importance of Speech Therapist services within Russia's evolving healthcare landscape.</w:t>
      </w:r>
    </w:p>
    <w:bookmarkEnd w:id="20"/>
    <w:bookmarkStart w:id="21" w:name="X03cd0d489eb6fb0aafce6ec8ffd549feef3fa0e"/>
    <w:p>
      <w:pPr>
        <w:pStyle w:val="Heading2"/>
      </w:pPr>
      <w:r>
        <w:t xml:space="preserve">Market Context: Speech Therapy Demand in Moscow</w:t>
      </w:r>
    </w:p>
    <w:p>
      <w:pPr>
        <w:pStyle w:val="FirstParagraph"/>
      </w:pPr>
      <w:r>
        <w:t xml:space="preserve">Moscow's population of 13.5 million includes over 420,000 children and adults requiring speech therapy interventions, per Russian Ministry of Health estimates. The city has witnessed a 58% year-on-year increase in diagnosed communication disorders since 2021, attributed to heightened environmental awareness (industrial pollutants), improved diagnostic capabilities in urban clinics, and growing parental education levels. This demand surge directly impacts our Speech Therapist sales pipeline. In Q3 alone, Moscow contributed 63% of all regional sales for our premium therapy packages – a testament to the city's position as Russia's primary healthcare consumption center.</w:t>
      </w:r>
    </w:p>
    <w:bookmarkEnd w:id="21"/>
    <w:bookmarkStart w:id="22" w:name="q3-sales-performance-analysis"/>
    <w:p>
      <w:pPr>
        <w:pStyle w:val="Heading2"/>
      </w:pPr>
      <w:r>
        <w:t xml:space="preserve">Q3 Sales Performance Analysis</w:t>
      </w:r>
    </w:p>
    <w:p>
      <w:pPr>
        <w:pStyle w:val="FirstParagraph"/>
      </w:pPr>
      <w:r>
        <w:t xml:space="preserve">Our Moscow-based Speech Therapist services generated ₽14.7 million in revenue during Q3 2023, representing a 41% increase from Q2 and 37% above the same period last year. Key drivers include:</w:t>
      </w:r>
    </w:p>
    <w:p>
      <w:pPr>
        <w:numPr>
          <w:ilvl w:val="0"/>
          <w:numId w:val="1001"/>
        </w:numPr>
        <w:pStyle w:val="Compact"/>
      </w:pPr>
      <w:r>
        <w:rPr>
          <w:bCs/>
          <w:b/>
        </w:rPr>
        <w:t xml:space="preserve">Corporate Partnerships:</w:t>
      </w:r>
      <w:r>
        <w:t xml:space="preserve"> </w:t>
      </w:r>
      <w:r>
        <w:t xml:space="preserve">48 new contracts with Moscow-based international schools (including British International School and American Embassy School) for in-house Speech Therapist services</w:t>
      </w:r>
    </w:p>
    <w:p>
      <w:pPr>
        <w:numPr>
          <w:ilvl w:val="0"/>
          <w:numId w:val="1001"/>
        </w:numPr>
        <w:pStyle w:val="Compact"/>
      </w:pPr>
      <w:r>
        <w:rPr>
          <w:bCs/>
          <w:b/>
        </w:rPr>
        <w:t xml:space="preserve">Digital Expansion:</w:t>
      </w:r>
      <w:r>
        <w:t xml:space="preserve"> </w:t>
      </w:r>
      <w:r>
        <w:t xml:space="preserve">72% of sales came through our Moscow-optimized teletherapy platform, serving clients across all 10 administrative districts</w:t>
      </w:r>
    </w:p>
    <w:p>
      <w:pPr>
        <w:numPr>
          <w:ilvl w:val="0"/>
          <w:numId w:val="1001"/>
        </w:numPr>
        <w:pStyle w:val="Compact"/>
      </w:pPr>
      <w:r>
        <w:rPr>
          <w:bCs/>
          <w:b/>
        </w:rPr>
        <w:t xml:space="preserve">Premium Package Adoption:</w:t>
      </w:r>
      <w:r>
        <w:t xml:space="preserve"> </w:t>
      </w:r>
      <w:r>
        <w:t xml:space="preserve">High-margin "Advanced Pediatric Intervention" packages saw 200% YoY growth among private healthcare clients</w:t>
      </w:r>
    </w:p>
    <w:p>
      <w:pPr>
        <w:pStyle w:val="FirstParagraph"/>
      </w:pPr>
      <w:r>
        <w:t xml:space="preserve">Conversion metrics reveal exceptional performance: Our sales team achieved a 68% lead-to-client conversion rate in Moscow – significantly higher than the national average of 49%. This success stems from localized marketing strategies targeting Moscow's affluent districts (e.g., Zamoskvorechye, Khamovniki) and partnerships with top-tier pediatric hospitals like City Children's Clinic #50.</w:t>
      </w:r>
    </w:p>
    <w:bookmarkEnd w:id="22"/>
    <w:bookmarkStart w:id="23" w:name="competitive-landscape-differentiation"/>
    <w:p>
      <w:pPr>
        <w:pStyle w:val="Heading2"/>
      </w:pPr>
      <w:r>
        <w:t xml:space="preserve">Competitive Landscape &amp; Differentiation</w:t>
      </w:r>
    </w:p>
    <w:p>
      <w:pPr>
        <w:pStyle w:val="FirstParagraph"/>
      </w:pPr>
      <w:r>
        <w:t xml:space="preserve">While Moscow features 187 speech therapy clinics, our Sales Report identifies three critical differentiators that drive market share:</w:t>
      </w:r>
    </w:p>
    <w:p>
      <w:pPr>
        <w:numPr>
          <w:ilvl w:val="0"/>
          <w:numId w:val="1002"/>
        </w:numPr>
        <w:pStyle w:val="Compact"/>
      </w:pPr>
      <w:r>
        <w:rPr>
          <w:bCs/>
          <w:b/>
        </w:rPr>
        <w:t xml:space="preserve">Certification Alignment:</w:t>
      </w:r>
      <w:r>
        <w:t xml:space="preserve"> </w:t>
      </w:r>
      <w:r>
        <w:t xml:space="preserve">All Moscow-based Speech Therapist staff hold Russian Federal Healthcare Ministry accreditation (vs. 63% industry average), crucial for insurance reimbursement</w:t>
      </w:r>
    </w:p>
    <w:p>
      <w:pPr>
        <w:numPr>
          <w:ilvl w:val="0"/>
          <w:numId w:val="1002"/>
        </w:numPr>
        <w:pStyle w:val="Compact"/>
      </w:pPr>
      <w:r>
        <w:rPr>
          <w:bCs/>
          <w:b/>
        </w:rPr>
        <w:t xml:space="preserve">Cultural Adaptation:</w:t>
      </w:r>
      <w:r>
        <w:t xml:space="preserve"> </w:t>
      </w:r>
      <w:r>
        <w:t xml:space="preserve">Therapy programs incorporate Russian linguistic nuances (e.g., Cyrillic phonetics training, Slavic accent modification) absent in foreign competitors</w:t>
      </w:r>
    </w:p>
    <w:p>
      <w:pPr>
        <w:numPr>
          <w:ilvl w:val="0"/>
          <w:numId w:val="1002"/>
        </w:numPr>
        <w:pStyle w:val="Compact"/>
      </w:pPr>
      <w:r>
        <w:rPr>
          <w:bCs/>
          <w:b/>
        </w:rPr>
        <w:t xml:space="preserve">Government Partnerships:</w:t>
      </w:r>
      <w:r>
        <w:t xml:space="preserve"> </w:t>
      </w:r>
      <w:r>
        <w:t xml:space="preserve">Exclusive contracts with Moscow Education Department for school-based services provide stable revenue streams</w:t>
      </w:r>
    </w:p>
    <w:p>
      <w:pPr>
        <w:pStyle w:val="FirstParagraph"/>
      </w:pPr>
      <w:r>
        <w:t xml:space="preserve">A recent competitive analysis shows our Moscow service retention rate at 89% – outperforming the market average of 67%. This stability is attributed to personalized care models developed specifically for Russian clients' cultural communication preferences.</w:t>
      </w:r>
    </w:p>
    <w:bookmarkEnd w:id="23"/>
    <w:bookmarkStart w:id="24" w:name="challenges-strategic-adjustments"/>
    <w:p>
      <w:pPr>
        <w:pStyle w:val="Heading2"/>
      </w:pPr>
      <w:r>
        <w:t xml:space="preserve">Challenges &amp; Strategic Adjustments</w:t>
      </w:r>
    </w:p>
    <w:p>
      <w:pPr>
        <w:pStyle w:val="FirstParagraph"/>
      </w:pPr>
      <w:r>
        <w:t xml:space="preserve">Despite strong performance, our Sales Report identifies two pressing challenges in Russia Moscow:</w:t>
      </w:r>
    </w:p>
    <w:p>
      <w:pPr>
        <w:numPr>
          <w:ilvl w:val="0"/>
          <w:numId w:val="1003"/>
        </w:numPr>
        <w:pStyle w:val="Compact"/>
      </w:pPr>
      <w:r>
        <w:rPr>
          <w:bCs/>
          <w:b/>
        </w:rPr>
        <w:t xml:space="preserve">Logistical Constraints:</w:t>
      </w:r>
      <w:r>
        <w:t xml:space="preserve"> </w:t>
      </w:r>
      <w:r>
        <w:t xml:space="preserve">Heavy traffic and complex public transport hinder therapist mobility across Moscow's sprawling districts (e.g., 1.5-hour commute times from central clinics to New Moscow suburbs)</w:t>
      </w:r>
    </w:p>
    <w:p>
      <w:pPr>
        <w:numPr>
          <w:ilvl w:val="0"/>
          <w:numId w:val="1003"/>
        </w:numPr>
        <w:pStyle w:val="Compact"/>
      </w:pPr>
      <w:r>
        <w:rPr>
          <w:bCs/>
          <w:b/>
        </w:rPr>
        <w:t xml:space="preserve">Pricing Sensitivity:</w:t>
      </w:r>
      <w:r>
        <w:t xml:space="preserve"> </w:t>
      </w:r>
      <w:r>
        <w:t xml:space="preserve">Lower-income neighborhoods show high demand but limited purchasing power, requiring subsidy models</w:t>
      </w:r>
    </w:p>
    <w:p>
      <w:pPr>
        <w:pStyle w:val="FirstParagraph"/>
      </w:pPr>
      <w:r>
        <w:t xml:space="preserve">To address these, we've implemented two targeted strategies in Q4:</w:t>
      </w:r>
    </w:p>
    <w:p>
      <w:pPr>
        <w:numPr>
          <w:ilvl w:val="0"/>
          <w:numId w:val="1004"/>
        </w:numPr>
        <w:pStyle w:val="Compact"/>
      </w:pPr>
      <w:r>
        <w:rPr>
          <w:bCs/>
          <w:b/>
        </w:rPr>
        <w:t xml:space="preserve">Mobile Therapy Units:</w:t>
      </w:r>
      <w:r>
        <w:t xml:space="preserve"> </w:t>
      </w:r>
      <w:r>
        <w:t xml:space="preserve">Deploying 5 electric vans equipped for home visits in Moscow's most underserved districts (Nizhny Novgorod, Sokol)</w:t>
      </w:r>
    </w:p>
    <w:p>
      <w:pPr>
        <w:numPr>
          <w:ilvl w:val="0"/>
          <w:numId w:val="1004"/>
        </w:numPr>
        <w:pStyle w:val="Compact"/>
      </w:pPr>
      <w:r>
        <w:rPr>
          <w:bCs/>
          <w:b/>
        </w:rPr>
        <w:t xml:space="preserve">Government-Subsidized Programs:</w:t>
      </w:r>
      <w:r>
        <w:t xml:space="preserve"> </w:t>
      </w:r>
      <w:r>
        <w:t xml:space="preserve">Partnering with Moscow Social Welfare Department to offer sliding-scale pricing for low-income families</w:t>
      </w:r>
    </w:p>
    <w:bookmarkEnd w:id="24"/>
    <w:bookmarkStart w:id="25" w:name="future-growth-projections"/>
    <w:p>
      <w:pPr>
        <w:pStyle w:val="Heading2"/>
      </w:pPr>
      <w:r>
        <w:t xml:space="preserve">Future Growth Projections</w:t>
      </w:r>
    </w:p>
    <w:p>
      <w:pPr>
        <w:pStyle w:val="FirstParagraph"/>
      </w:pPr>
      <w:r>
        <w:t xml:space="preserve">Based on current trends, our Sales Report forecasts a 50% revenue increase for Speech Therapist services in Russia Moscow by Q2 2024. Key growth catalysts include:</w:t>
      </w:r>
    </w:p>
    <w:p>
      <w:pPr>
        <w:numPr>
          <w:ilvl w:val="0"/>
          <w:numId w:val="1005"/>
        </w:numPr>
        <w:pStyle w:val="Compact"/>
      </w:pPr>
      <w:r>
        <w:rPr>
          <w:bCs/>
          <w:b/>
        </w:rPr>
        <w:t xml:space="preserve">Regulatory Shifts:</w:t>
      </w:r>
      <w:r>
        <w:t xml:space="preserve"> </w:t>
      </w:r>
      <w:r>
        <w:t xml:space="preserve">Upcoming Russian healthcare law requiring speech therapy screenings in all public preschools (effective Jan 2024)</w:t>
      </w:r>
    </w:p>
    <w:p>
      <w:pPr>
        <w:numPr>
          <w:ilvl w:val="0"/>
          <w:numId w:val="1005"/>
        </w:numPr>
        <w:pStyle w:val="Compact"/>
      </w:pPr>
      <w:r>
        <w:rPr>
          <w:bCs/>
          <w:b/>
        </w:rPr>
        <w:t xml:space="preserve">Digital Adoption:</w:t>
      </w:r>
      <w:r>
        <w:t xml:space="preserve"> </w:t>
      </w:r>
      <w:r>
        <w:t xml:space="preserve">Projected 85% growth in teletherapy demand as Moscow's broadband penetration reaches 97%</w:t>
      </w:r>
    </w:p>
    <w:p>
      <w:pPr>
        <w:numPr>
          <w:ilvl w:val="0"/>
          <w:numId w:val="1005"/>
        </w:numPr>
        <w:pStyle w:val="Compact"/>
      </w:pPr>
      <w:r>
        <w:rPr>
          <w:bCs/>
          <w:b/>
        </w:rPr>
        <w:t xml:space="preserve">Expansion into New Segments:</w:t>
      </w:r>
      <w:r>
        <w:t xml:space="preserve"> </w:t>
      </w:r>
      <w:r>
        <w:t xml:space="preserve">Targeting corporate clients for executive communication coaching (3 new Fortune 500 contracts secured in Q3)</w:t>
      </w:r>
    </w:p>
    <w:bookmarkEnd w:id="25"/>
    <w:bookmarkStart w:id="26" w:name="X6709a91b7eec7de315270d9af6814863ac93d35"/>
    <w:p>
      <w:pPr>
        <w:pStyle w:val="Heading2"/>
      </w:pPr>
      <w:r>
        <w:t xml:space="preserve">Conclusion: Strategic Imperatives for Russia Moscow</w:t>
      </w:r>
    </w:p>
    <w:p>
      <w:pPr>
        <w:pStyle w:val="FirstParagraph"/>
      </w:pPr>
      <w:r>
        <w:t xml:space="preserve">This Sales Report confirms that Speech Therapist services are not merely a healthcare necessity but a high-growth strategic asset within Russia Moscow's economy. The city's demographic profile, coupled with evolving healthcare policies, creates an unparalleled market opportunity. As the most populated metropolitan center in Europe, Moscow remains the optimal launchpad for national expansion across Russia.</w:t>
      </w:r>
    </w:p>
    <w:p>
      <w:pPr>
        <w:pStyle w:val="BodyText"/>
      </w:pPr>
      <w:r>
        <w:t xml:space="preserve">Our data-driven approach demonstrates that success requires hyper-localized strategies – from culturally attuned therapy protocols to Moscow-specific logistical solutions. We recommend doubling down on digital infrastructure investment and government partnerships to maintain our 63% market share leadership in this critical sector. The Speech Therapist service model in Russia Moscow has evolved beyond clinical treatment into a comprehensive communication health ecosystem, positioning us for sustained dominance as the city's healthcare landscape continues transforming.</w:t>
      </w:r>
    </w:p>
    <w:bookmarkEnd w:id="26"/>
    <w:bookmarkStart w:id="27" w:name="appendix-q3-moscow-sales-metrics"/>
    <w:p>
      <w:pPr>
        <w:pStyle w:val="Heading2"/>
      </w:pPr>
      <w:r>
        <w:t xml:space="preserve">Appendix: Q3 Moscow Sales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 Change (QoQ)</w:t>
            </w:r>
          </w:p>
        </w:tc>
      </w:tr>
      <w:tr>
        <w:tc>
          <w:tcPr/>
          <w:p>
            <w:pPr>
              <w:pStyle w:val="Compact"/>
              <w:jc w:val="left"/>
            </w:pPr>
            <w:r>
              <w:t xml:space="preserve">Total Revenue (₽)</w:t>
            </w:r>
          </w:p>
        </w:tc>
        <w:tc>
          <w:tcPr/>
          <w:p>
            <w:pPr>
              <w:pStyle w:val="Compact"/>
              <w:jc w:val="left"/>
            </w:pPr>
            <w:r>
              <w:t xml:space="preserve">14,700,000</w:t>
            </w:r>
          </w:p>
        </w:tc>
        <w:tc>
          <w:tcPr/>
          <w:p>
            <w:pPr>
              <w:pStyle w:val="Compact"/>
              <w:jc w:val="left"/>
            </w:pPr>
            <w:r>
              <w:t xml:space="preserve">+41%</w:t>
            </w:r>
          </w:p>
        </w:tc>
      </w:tr>
      <w:tr>
        <w:tc>
          <w:tcPr/>
          <w:p>
            <w:pPr>
              <w:pStyle w:val="Compact"/>
              <w:jc w:val="left"/>
            </w:pPr>
            <w:r>
              <w:t xml:space="preserve">Clients Served</w:t>
            </w:r>
          </w:p>
        </w:tc>
        <w:tc>
          <w:tcPr/>
          <w:p>
            <w:pPr>
              <w:pStyle w:val="Compact"/>
              <w:jc w:val="left"/>
            </w:pPr>
            <w:r>
              <w:t xml:space="preserve">2,855</w:t>
            </w:r>
          </w:p>
        </w:tc>
        <w:tc>
          <w:tcPr/>
          <w:p>
            <w:pPr>
              <w:pStyle w:val="Compact"/>
              <w:jc w:val="left"/>
            </w:pPr>
            <w:r>
              <w:t xml:space="preserve">+37%</w:t>
            </w:r>
          </w:p>
        </w:tc>
      </w:tr>
      <w:tr>
        <w:tc>
          <w:tcPr/>
          <w:p>
            <w:pPr>
              <w:pStyle w:val="Compact"/>
              <w:jc w:val="left"/>
            </w:pPr>
            <w:r>
              <w:t xml:space="preserve">Avg. Session Cost (₽)</w:t>
            </w:r>
          </w:p>
        </w:tc>
        <w:tc>
          <w:tcPr/>
          <w:p>
            <w:pPr>
              <w:pStyle w:val="Compact"/>
              <w:jc w:val="left"/>
            </w:pPr>
            <w:r>
              <w:t xml:space="preserve">4,200</w:t>
            </w:r>
          </w:p>
        </w:tc>
        <w:tc>
          <w:tcPr/>
          <w:p>
            <w:pPr>
              <w:pStyle w:val="Compact"/>
              <w:jc w:val="left"/>
            </w:pPr>
            <w:r>
              <w:t xml:space="preserve">+11%</w:t>
            </w:r>
          </w:p>
        </w:tc>
      </w:tr>
      <w:tr>
        <w:tc>
          <w:tcPr/>
          <w:p>
            <w:pPr>
              <w:pStyle w:val="Compact"/>
              <w:jc w:val="left"/>
            </w:pPr>
            <w:r>
              <w:t xml:space="preserve">Market Share (Moscow)</w:t>
            </w:r>
          </w:p>
        </w:tc>
        <w:tc>
          <w:tcPr/>
          <w:p>
            <w:pPr>
              <w:pStyle w:val="Compact"/>
              <w:jc w:val="left"/>
            </w:pPr>
            <w:r>
              <w:t xml:space="preserve">63%</w:t>
            </w:r>
          </w:p>
        </w:tc>
        <w:tc>
          <w:tcPr/>
          <w:p>
            <w:pPr>
              <w:pStyle w:val="Compact"/>
              <w:jc w:val="left"/>
            </w:pPr>
            <w:r>
              <w:t xml:space="preserve">+15 pts YoY</w:t>
            </w:r>
          </w:p>
        </w:tc>
      </w:tr>
    </w:tbl>
    <w:p>
      <w:pPr>
        <w:pStyle w:val="BodyText"/>
      </w:pPr>
      <w:r>
        <w:rPr>
          <w:bCs/>
          <w:b/>
        </w:rPr>
        <w:t xml:space="preserve">Note:</w:t>
      </w:r>
      <w:r>
        <w:t xml:space="preserve"> </w:t>
      </w:r>
      <w:r>
        <w:t xml:space="preserve">All data reflects verified sales from Moscow-based operations. This Sales Report is specifically tailored to the unique healthcare dynamics of Russia Moscow and will inform strategic decisions for our national expansion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Moscow Market Analysis</dc:title>
  <dc:creator/>
  <dc:language>en</dc:language>
  <cp:keywords/>
  <dcterms:created xsi:type="dcterms:W3CDTF">2026-07-23T11:46:23Z</dcterms:created>
  <dcterms:modified xsi:type="dcterms:W3CDTF">2026-07-23T11:46:23Z</dcterms:modified>
</cp:coreProperties>
</file>

<file path=docProps/custom.xml><?xml version="1.0" encoding="utf-8"?>
<Properties xmlns="http://schemas.openxmlformats.org/officeDocument/2006/custom-properties" xmlns:vt="http://schemas.openxmlformats.org/officeDocument/2006/docPropsVTypes"/>
</file>