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989249086c52900897088c9b3512d6dc451de12"/>
    <w:p>
      <w:pPr>
        <w:pStyle w:val="Heading1"/>
      </w:pPr>
      <w:r>
        <w:t xml:space="preserve">Comprehensive Sales Report: Speech Therapist Service Expansion in Saint Petersburg, Russia</w:t>
      </w:r>
    </w:p>
    <w:bookmarkStart w:id="20" w:name="executive-summary"/>
    <w:p>
      <w:pPr>
        <w:pStyle w:val="Heading2"/>
      </w:pPr>
      <w:r>
        <w:t xml:space="preserve">Executive Summary</w:t>
      </w:r>
    </w:p>
    <w:p>
      <w:pPr>
        <w:pStyle w:val="FirstParagraph"/>
      </w:pPr>
      <w:r>
        <w:t xml:space="preserve">This sales report details the performance and strategic outlook for our speech therapy services within the Saint Petersburg market, Russia. As a leading provider of specialized communication disorder interventions, we have achieved remarkable growth since establishing our dedicated clinic in Saint Petersburg's Nevsky Prospect district in early 2023. This document outlines current sales metrics, market analysis, competitive positioning, and future growth initiatives tailored specifically for Russia's second-largest city. Our data confirms strong demand for professional Speech Therapist services across pediatric and adult demographics, positioning us as a critical healthcare solution provider in the Saint Petersburg region.</w:t>
      </w:r>
    </w:p>
    <w:bookmarkEnd w:id="20"/>
    <w:bookmarkStart w:id="21" w:name="X7cd981fb17d28e43b9ae4fe5a8e37229ef8b9b5"/>
    <w:p>
      <w:pPr>
        <w:pStyle w:val="Heading2"/>
      </w:pPr>
      <w:r>
        <w:t xml:space="preserve">Market Analysis: Saint Petersburg Demand Landscape</w:t>
      </w:r>
    </w:p>
    <w:p>
      <w:pPr>
        <w:pStyle w:val="FirstParagraph"/>
      </w:pPr>
      <w:r>
        <w:t xml:space="preserve">The Saint Petersburg market exhibits exceptional potential for speech therapy services due to several unique factors. According to 2023 Federal Health Statistics (Rosstat), 18.7% of children in Saint Petersburg require communication support – significantly above the national average of 14.3%. This surge stems from increased diagnostic awareness, rising incidence of developmental disorders, and Russia's recent educational reforms emphasizing early intervention. The city's dense population (5.6 million) combined with high academic pressure creates substantial demand for Speech Therapist services in schools and private clinics.</w:t>
      </w:r>
    </w:p>
    <w:p>
      <w:pPr>
        <w:pStyle w:val="BodyText"/>
      </w:pPr>
      <w:r>
        <w:t xml:space="preserve">Crucially, Saint Petersburg has only 37 licensed speech therapy clinics serving its entire population, resulting in an acute service gap. Our market research indicates a 220% year-over-year increase in parent inquiries regarding early speech intervention since 2021 – a trend directly tied to Russia's National Education Strategy for Childhood Development (Order No. 195). This demand is further amplified by Saint Petersburg's status as an educational hub, with over 350 schools implementing mandatory communication screenings.</w:t>
      </w:r>
    </w:p>
    <w:bookmarkEnd w:id="21"/>
    <w:bookmarkStart w:id="22" w:name="sales-performance-metrics-q1-q3-2024"/>
    <w:p>
      <w:pPr>
        <w:pStyle w:val="Heading2"/>
      </w:pPr>
      <w:r>
        <w:t xml:space="preserve">Sales Performance Metrics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2024</w:t>
            </w:r>
          </w:p>
        </w:tc>
        <w:tc>
          <w:tcPr/>
          <w:p>
            <w:pPr>
              <w:pStyle w:val="Compact"/>
              <w:jc w:val="left"/>
            </w:pPr>
            <w:r>
              <w:t xml:space="preserve">Growth Rate</w:t>
            </w:r>
          </w:p>
        </w:tc>
      </w:tr>
      <w:tr>
        <w:tc>
          <w:tcPr/>
          <w:p>
            <w:pPr>
              <w:pStyle w:val="Compact"/>
              <w:jc w:val="left"/>
            </w:pPr>
            <w:r>
              <w:t xml:space="preserve">Total Clients (Pediatric)</w:t>
            </w:r>
          </w:p>
        </w:tc>
        <w:tc>
          <w:tcPr/>
          <w:p>
            <w:pPr>
              <w:pStyle w:val="Compact"/>
              <w:jc w:val="left"/>
            </w:pPr>
            <w:r>
              <w:t xml:space="preserve">87</w:t>
            </w:r>
          </w:p>
        </w:tc>
        <w:tc>
          <w:tcPr/>
          <w:p>
            <w:pPr>
              <w:pStyle w:val="Compact"/>
              <w:jc w:val="left"/>
            </w:pPr>
            <w:r>
              <w:t xml:space="preserve">514</w:t>
            </w:r>
          </w:p>
        </w:tc>
        <w:tc>
          <w:tcPr/>
          <w:p>
            <w:pPr>
              <w:pStyle w:val="Compact"/>
              <w:jc w:val="left"/>
            </w:pPr>
            <w:r>
              <w:t xml:space="preserve">+489%</w:t>
            </w:r>
          </w:p>
        </w:tc>
      </w:tr>
      <w:tr>
        <w:tc>
          <w:tcPr/>
          <w:p>
            <w:pPr>
              <w:pStyle w:val="Compact"/>
              <w:jc w:val="left"/>
            </w:pPr>
            <w:r>
              <w:t xml:space="preserve">Total Clients (Adult)</w:t>
            </w:r>
          </w:p>
        </w:tc>
        <w:tc>
          <w:tcPr/>
          <w:p>
            <w:pPr>
              <w:pStyle w:val="Compact"/>
              <w:jc w:val="left"/>
            </w:pPr>
            <w:r>
              <w:t xml:space="preserve">23</w:t>
            </w:r>
          </w:p>
        </w:tc>
        <w:tc>
          <w:tcPr/>
          <w:p>
            <w:pPr>
              <w:pStyle w:val="Compact"/>
              <w:jc w:val="left"/>
            </w:pPr>
            <w:r>
              <w:t xml:space="preserve">192</w:t>
            </w:r>
          </w:p>
        </w:tc>
        <w:tc>
          <w:tcPr/>
          <w:p>
            <w:pPr>
              <w:pStyle w:val="Compact"/>
              <w:jc w:val="left"/>
            </w:pPr>
            <w:r>
              <w:t xml:space="preserve">+735%</w:t>
            </w:r>
          </w:p>
        </w:tc>
      </w:tr>
      <w:tr>
        <w:tc>
          <w:tcPr/>
          <w:p>
            <w:pPr>
              <w:pStyle w:val="Compact"/>
              <w:jc w:val="left"/>
            </w:pPr>
            <w:r>
              <w:t xml:space="preserve">Avg. Session Revenue per Client</w:t>
            </w:r>
          </w:p>
        </w:tc>
        <w:tc>
          <w:tcPr/>
          <w:p>
            <w:pPr>
              <w:pStyle w:val="Compact"/>
              <w:jc w:val="left"/>
            </w:pPr>
            <w:r>
              <w:t xml:space="preserve">4,800 RUB</w:t>
            </w:r>
          </w:p>
        </w:tc>
        <w:tc>
          <w:tcPr/>
          <w:p>
            <w:pPr>
              <w:pStyle w:val="Compact"/>
              <w:jc w:val="left"/>
            </w:pPr>
            <w:r>
              <w:t xml:space="preserve">6,200 RUB</w:t>
            </w:r>
          </w:p>
        </w:tc>
        <w:tc>
          <w:tcPr/>
          <w:p>
            <w:pPr>
              <w:pStyle w:val="Compact"/>
              <w:jc w:val="left"/>
            </w:pPr>
            <w:r>
              <w:t xml:space="preserve">+29.2%</w:t>
            </w:r>
          </w:p>
        </w:tc>
      </w:tr>
      <w:tr>
        <w:tc>
          <w:tcPr/>
          <w:p>
            <w:pPr>
              <w:pStyle w:val="Compact"/>
              <w:jc w:val="left"/>
            </w:pPr>
            <w:r>
              <w:t xml:space="preserve">Total Revenue (RUB)</w:t>
            </w:r>
          </w:p>
        </w:tc>
        <w:tc>
          <w:tcPr/>
          <w:p>
            <w:pPr>
              <w:pStyle w:val="Compact"/>
              <w:jc w:val="left"/>
            </w:pPr>
            <w:r>
              <w:t xml:space="preserve">1,156,347</w:t>
            </w:r>
          </w:p>
        </w:tc>
        <w:tc>
          <w:tcPr/>
          <w:p>
            <w:pPr>
              <w:pStyle w:val="Compact"/>
              <w:jc w:val="left"/>
            </w:pPr>
            <w:r>
              <w:t xml:space="preserve">8,743,185</w:t>
            </w:r>
          </w:p>
        </w:tc>
        <w:tc>
          <w:tcPr/>
          <w:p>
            <w:pPr>
              <w:pStyle w:val="Compact"/>
              <w:jc w:val="left"/>
            </w:pPr>
            <w:r>
              <w:t xml:space="preserve">+656%</w:t>
            </w:r>
          </w:p>
        </w:tc>
      </w:tr>
    </w:tbl>
    <w:p>
      <w:pPr>
        <w:pStyle w:val="BodyText"/>
      </w:pPr>
      <w:r>
        <w:t xml:space="preserve">Our Saint Petersburg Speech Therapist division has achieved these results through strategic localization. We've implemented Russian-language therapy protocols certified by the Saint Petersburg Medical Board and established partnerships with 42 schools across districts including Vasileostrovsky, Petrogradsky, and Krasnoselsky. Notably, 78% of our pediatric clients are referred through municipal health programs – a testament to our integration into Saint Petersburg's healthcare ecosystem.</w:t>
      </w:r>
    </w:p>
    <w:bookmarkEnd w:id="22"/>
    <w:bookmarkStart w:id="23" w:name="X063064d0eafcda81a55dfa46a5229baa5296688"/>
    <w:p>
      <w:pPr>
        <w:pStyle w:val="Heading2"/>
      </w:pPr>
      <w:r>
        <w:t xml:space="preserve">Competitive Differentiation in Russia's Saint Petersburg Market</w:t>
      </w:r>
    </w:p>
    <w:p>
      <w:pPr>
        <w:pStyle w:val="FirstParagraph"/>
      </w:pPr>
      <w:r>
        <w:t xml:space="preserve">Unlike national competitors, our clinic exclusively employs Russian-certified Speech Therapists with dual expertise in both standard Russian and regional dialects (including Leningrad dialect nuances). This specialization addresses a critical market gap: 34% of local families reported difficulties communicating with foreign-trained therapists due to accent barriers (2024 Saint Petersburg Family Survey).</w:t>
      </w:r>
    </w:p>
    <w:p>
      <w:pPr>
        <w:pStyle w:val="BodyText"/>
      </w:pPr>
      <w:r>
        <w:t xml:space="preserve">We've also pioneered the "Saint Petersburg Early Intervention Passport" – a digital health tool synchronized with regional educational databases. This allows seamless coordination between our Speech Therapist teams, schools, and pediatricians across 13 districts of Saint Petersburg. The program has increased client retention by 63% compared to industry averages.</w:t>
      </w:r>
    </w:p>
    <w:bookmarkEnd w:id="23"/>
    <w:bookmarkStart w:id="24" w:name="key-challenges-strategic-responses"/>
    <w:p>
      <w:pPr>
        <w:pStyle w:val="Heading2"/>
      </w:pPr>
      <w:r>
        <w:t xml:space="preserve">Key Challenges &amp; Strategic Responses</w:t>
      </w:r>
    </w:p>
    <w:p>
      <w:pPr>
        <w:pStyle w:val="FirstParagraph"/>
      </w:pPr>
      <w:r>
        <w:t xml:space="preserve">Operating in Russia's Saint Petersburg presents unique hurdles. The primary challenge remains navigating complex regional healthcare regulations, particularly after the 2023 amendment to Federal Law No. 323 on medical services. To address this, we established a dedicated Saint Petersburg Compliance Unit staffed with local legal experts who ensure all Speech Therapist protocols meet both federal standards and city-specific requirements.</w:t>
      </w:r>
    </w:p>
    <w:p>
      <w:pPr>
        <w:pStyle w:val="BodyText"/>
      </w:pPr>
      <w:r>
        <w:t xml:space="preserve">Another critical factor is the seasonal demand fluctuation – heavy client influx during school terms (September-May) versus low activity in summer months. Our solution was developing the "Saint Petersburg Summer Skills Program," offering mobile therapy services to camps across Leningrad Oblast. This has stabilized annual revenue by 41% and positioned us as a year-round service provider.</w:t>
      </w:r>
    </w:p>
    <w:bookmarkEnd w:id="24"/>
    <w:bookmarkStart w:id="25" w:name="Xad5493b0b30ed9a71a95b46634ee03bf1645a77"/>
    <w:p>
      <w:pPr>
        <w:pStyle w:val="Heading2"/>
      </w:pPr>
      <w:r>
        <w:t xml:space="preserve">Future Growth Strategy for Russia's Saint Petersburg</w:t>
      </w:r>
    </w:p>
    <w:p>
      <w:pPr>
        <w:pStyle w:val="FirstParagraph"/>
      </w:pPr>
      <w:r>
        <w:t xml:space="preserve">Our expansion plan for the next 18 months focuses on three pillars:</w:t>
      </w:r>
    </w:p>
    <w:p>
      <w:pPr>
        <w:numPr>
          <w:ilvl w:val="0"/>
          <w:numId w:val="1001"/>
        </w:numPr>
        <w:pStyle w:val="Compact"/>
      </w:pPr>
      <w:r>
        <w:rPr>
          <w:bCs/>
          <w:b/>
        </w:rPr>
        <w:t xml:space="preserve">Geographic Expansion:</w:t>
      </w:r>
      <w:r>
        <w:t xml:space="preserve"> </w:t>
      </w:r>
      <w:r>
        <w:t xml:space="preserve">Opening satellite clinics in Krasnoselsky (October 2024) and Vsevolozhsk (Q2 2025), targeting areas with highest pediatric referral rates per Saint Petersburg City Health Department data.</w:t>
      </w:r>
    </w:p>
    <w:p>
      <w:pPr>
        <w:numPr>
          <w:ilvl w:val="0"/>
          <w:numId w:val="1001"/>
        </w:numPr>
        <w:pStyle w:val="Compact"/>
      </w:pPr>
      <w:r>
        <w:rPr>
          <w:bCs/>
          <w:b/>
        </w:rPr>
        <w:t xml:space="preserve">Digital Integration:</w:t>
      </w:r>
      <w:r>
        <w:t xml:space="preserve"> </w:t>
      </w:r>
      <w:r>
        <w:t xml:space="preserve">Launching "Leningrad Speech Connect," a teletherapy platform compliant with Russian data localization laws, offering home-based sessions for clients in remote Saint Petersburg suburbs and surrounding regions.</w:t>
      </w:r>
    </w:p>
    <w:p>
      <w:pPr>
        <w:numPr>
          <w:ilvl w:val="0"/>
          <w:numId w:val="1001"/>
        </w:numPr>
        <w:pStyle w:val="Compact"/>
      </w:pPr>
      <w:r>
        <w:rPr>
          <w:bCs/>
          <w:b/>
        </w:rPr>
        <w:t xml:space="preserve">Industry Partnerships:</w:t>
      </w:r>
      <w:r>
        <w:t xml:space="preserve"> </w:t>
      </w:r>
      <w:r>
        <w:t xml:space="preserve">Formalizing agreements with 15+ major hospitals (including City Clinical Hospital No. 26) for guaranteed referral pathways – a first among private Speech Therapist providers in the region.</w:t>
      </w:r>
    </w:p>
    <w:bookmarkEnd w:id="25"/>
    <w:bookmarkStart w:id="26" w:name="X7d10163c886629a7aaac53c4e6591cab909cf9e"/>
    <w:p>
      <w:pPr>
        <w:pStyle w:val="Heading2"/>
      </w:pPr>
      <w:r>
        <w:t xml:space="preserve">Conclusion: Leadership in Saint Petersburg's Speech Therapy Market</w:t>
      </w:r>
    </w:p>
    <w:p>
      <w:pPr>
        <w:pStyle w:val="FirstParagraph"/>
      </w:pPr>
      <w:r>
        <w:t xml:space="preserve">This Sales Report confirms that our strategic focus on Saint Petersburg as a high-demand market has yielded exceptional results. With 514 active pediatric clients and 192 adult cases served quarterly, we've established ourselves as Russia's fastest-growing Speech Therapist service provider in the Saint Petersburg metropolitan area. Our revenue trajectory (656% growth in 18 months) significantly outperforms both national healthcare averages and our regional competitors.</w:t>
      </w:r>
    </w:p>
    <w:p>
      <w:pPr>
        <w:pStyle w:val="BodyText"/>
      </w:pPr>
      <w:r>
        <w:t xml:space="preserve">Looking ahead, our integrated approach – combining Russian-certified clinical expertise, localized digital solutions, and strategic partnerships with Saint Petersburg's educational institutions – positions us to capture 28% of the city's pediatric speech therapy market within three years. As Russia continues prioritizing early childhood development under its "National Project: Education," Saint Petersburg will remain our flagship market for Speech Therapist services. We project $14.2 million in annual revenue by Q4 2025, solidifying our status as the region's premier communication health provider.</w:t>
      </w:r>
    </w:p>
    <w:p>
      <w:pPr>
        <w:pStyle w:val="BodyText"/>
      </w:pPr>
      <w:r>
        <w:t xml:space="preserve">Prepared for:** Saint Petersburg Regional Healthcare Board</w:t>
      </w:r>
      <w:r>
        <w:br/>
      </w:r>
      <w:r>
        <w:rPr>
          <w:bCs/>
          <w:b/>
        </w:rPr>
        <w:t xml:space="preserve">Date:</w:t>
      </w:r>
      <w:r>
        <w:t xml:space="preserve"> </w:t>
      </w:r>
      <w:r>
        <w:t xml:space="preserve">October 26, 2024</w:t>
      </w:r>
      <w:r>
        <w:br/>
      </w:r>
      <w:r>
        <w:rPr>
          <w:bCs/>
          <w:b/>
        </w:rPr>
        <w:t xml:space="preserve">Report Type:</w:t>
      </w:r>
      <w:r>
        <w:t xml:space="preserve"> </w:t>
      </w:r>
      <w:r>
        <w:t xml:space="preserve">Quarterly Sales Performance &amp; Market Strategy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Saint Petersburg, Russia</dc:title>
  <dc:creator/>
  <dc:language>en</dc:language>
  <cp:keywords/>
  <dcterms:created xsi:type="dcterms:W3CDTF">2026-07-24T06:37:48Z</dcterms:created>
  <dcterms:modified xsi:type="dcterms:W3CDTF">2026-07-24T06:37:48Z</dcterms:modified>
</cp:coreProperties>
</file>

<file path=docProps/custom.xml><?xml version="1.0" encoding="utf-8"?>
<Properties xmlns="http://schemas.openxmlformats.org/officeDocument/2006/custom-properties" xmlns:vt="http://schemas.openxmlformats.org/officeDocument/2006/docPropsVTypes"/>
</file>