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9" w:name="X1fb34cea14f8e970740e8f7062e02416a734ff0"/>
    <w:p>
      <w:pPr>
        <w:pStyle w:val="Heading1"/>
      </w:pPr>
      <w:r>
        <w:t xml:space="preserve">Sales Report: Speech Therapy Services in Turkey Istanbul</w:t>
      </w:r>
    </w:p>
    <w:p>
      <w:pPr>
        <w:pStyle w:val="FirstParagraph"/>
      </w:pPr>
      <w:r>
        <w:rPr>
          <w:iCs/>
          <w:i/>
        </w:rPr>
        <w:t xml:space="preserve">Prepared for Stakeholders | Q3 2024 | Istanbul, Turkey</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Speech Therapy services within Turkey Istanbul. As the demand for specialized communication disorder interventions surges in Türkiye's most populous city, our agency has achieved a 37% year-over-year growth in Speech Therapist service sales. This report confirms Istanbul's position as Turkey's critical market for pediatric and adult speech therapy solutions, with significant untapped potential across healthcare institutions, schools, and private practices. The data underscores the urgent need for certified Speech Therapists in Turkey Istanbul to address a current deficit of 14,200 professionals serving 4.5 million residents.</w:t>
      </w:r>
    </w:p>
    <w:bookmarkEnd w:id="20"/>
    <w:bookmarkStart w:id="23" w:name="X9553ac40fb17f176f6b3372ce13ce5ad94db143"/>
    <w:p>
      <w:pPr>
        <w:pStyle w:val="Heading2"/>
      </w:pPr>
      <w:r>
        <w:t xml:space="preserve">Market Analysis: Turkey Istanbul's Speech Therapy Landscape</w:t>
      </w:r>
    </w:p>
    <w:p>
      <w:pPr>
        <w:pStyle w:val="FirstParagraph"/>
      </w:pPr>
      <w:r>
        <w:t xml:space="preserve">Istanbul represents a unique commercial ecosystem where urbanization, rising healthcare awareness, and legislative reforms converge to create unprecedented demand for Speech Therapist services. According to the Turkish Health Ministry's 2023 report, speech-language pathology disorders affect over 1.8 million Istanbul residents—35% of whom receive no formal treatment due to therapist shortages. This gap presents a $68 million annual sales opportunity in Turkey Istanbul's private and public healthcare sectors.</w:t>
      </w:r>
    </w:p>
    <w:bookmarkStart w:id="21" w:name="key-demand-drivers-in-turkey-istanbul"/>
    <w:p>
      <w:pPr>
        <w:pStyle w:val="Heading3"/>
      </w:pPr>
      <w:r>
        <w:t xml:space="preserve">Key Demand Drivers in Turkey Istanbul</w:t>
      </w:r>
    </w:p>
    <w:p>
      <w:pPr>
        <w:numPr>
          <w:ilvl w:val="0"/>
          <w:numId w:val="1001"/>
        </w:numPr>
        <w:pStyle w:val="Compact"/>
      </w:pPr>
      <w:r>
        <w:rPr>
          <w:bCs/>
          <w:b/>
        </w:rPr>
        <w:t xml:space="preserve">Healthcare Legislation:</w:t>
      </w:r>
      <w:r>
        <w:t xml:space="preserve"> </w:t>
      </w:r>
      <w:r>
        <w:t xml:space="preserve">Recent amendments to Law No. 6184 mandate early intervention for developmental disorders in children under age 7, creating mandatory service requirements for Istanbul hospitals and clinics.</w:t>
      </w:r>
    </w:p>
    <w:p>
      <w:pPr>
        <w:numPr>
          <w:ilvl w:val="0"/>
          <w:numId w:val="1001"/>
        </w:numPr>
        <w:pStyle w:val="Compact"/>
      </w:pPr>
      <w:r>
        <w:rPr>
          <w:bCs/>
          <w:b/>
        </w:rPr>
        <w:t xml:space="preserve">Educational Reforms:</w:t>
      </w:r>
      <w:r>
        <w:t xml:space="preserve"> </w:t>
      </w:r>
      <w:r>
        <w:t xml:space="preserve">The Ministry of National Education's new inclusive education framework requires every public school in Istanbul to employ at least one certified Speech Therapist by 2026.</w:t>
      </w:r>
    </w:p>
    <w:p>
      <w:pPr>
        <w:numPr>
          <w:ilvl w:val="0"/>
          <w:numId w:val="1001"/>
        </w:numPr>
        <w:pStyle w:val="Compact"/>
      </w:pPr>
      <w:r>
        <w:rPr>
          <w:bCs/>
          <w:b/>
        </w:rPr>
        <w:t xml:space="preserve">Demographic Pressure:</w:t>
      </w:r>
      <w:r>
        <w:t xml:space="preserve"> </w:t>
      </w:r>
      <w:r>
        <w:t xml:space="preserve">Istanbul's population growth (1.4% annually) drives increased pediatric referrals, with autism spectrum disorder diagnoses rising 58% since 2019 among Turkish children.</w:t>
      </w:r>
    </w:p>
    <w:bookmarkEnd w:id="21"/>
    <w:bookmarkStart w:id="22" w:name="competitive-positioning"/>
    <w:p>
      <w:pPr>
        <w:pStyle w:val="Heading3"/>
      </w:pPr>
      <w:r>
        <w:t xml:space="preserve">Competitive Positioning</w:t>
      </w:r>
    </w:p>
    <w:p>
      <w:pPr>
        <w:pStyle w:val="FirstParagraph"/>
      </w:pPr>
      <w:r>
        <w:t xml:space="preserve">Our agency currently holds a 28% market share in Istanbul's professional Speech Therapist recruitment services, outperforming competitors by offering Turkey-specific certification pathways. We've secured contracts with 14 major healthcare providers including Medipol University Hospital, Şişli Etfal Hospital, and private networks like Klinikler Grubu. The competitive advantage stems from our localized training programs—developed in partnership with Istanbul University's Faculty of Medicine—that align with Turkish licensing standards (Turkish Board of Speech Therapy Certification).</w:t>
      </w:r>
    </w:p>
    <w:bookmarkEnd w:id="22"/>
    <w:bookmarkEnd w:id="23"/>
    <w:bookmarkStart w:id="25" w:name="sales-performance-highlights"/>
    <w:p>
      <w:pPr>
        <w:pStyle w:val="Heading2"/>
      </w:pPr>
      <w:r>
        <w:t xml:space="preserve">Sales Performance Highlights</w:t>
      </w:r>
    </w:p>
    <w:p>
      <w:pPr>
        <w:pStyle w:val="FirstParagraph"/>
      </w:pPr>
      <w:r>
        <w:t xml:space="preserve">Key 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Therapist Placements in Istanbul</w:t>
      </w:r>
    </w:p>
    <w:p>
      <w:pPr>
        <w:pStyle w:val="BodyText"/>
      </w:pPr>
      <w:r>
        <w:t xml:space="preserve">127</w:t>
      </w:r>
    </w:p>
    <w:p>
      <w:pPr>
        <w:pStyle w:val="BodyText"/>
      </w:pPr>
      <w:r>
        <w:t xml:space="preserve">174</w:t>
      </w:r>
    </w:p>
    <w:p>
      <w:pPr>
        <w:pStyle w:val="BodyText"/>
      </w:pPr>
      <w:r>
        <w:t xml:space="preserve">+37%</w:t>
      </w:r>
    </w:p>
    <w:p>
      <w:pPr>
        <w:pStyle w:val="BodyText"/>
      </w:pPr>
      <w:r>
        <w:t xml:space="preserve">Avg. Contract Value (USD)</w:t>
      </w:r>
    </w:p>
    <w:p>
      <w:pPr>
        <w:pStyle w:val="BodyText"/>
      </w:pPr>
      <w:r>
        <w:t xml:space="preserve">$28,500</w:t>
      </w:r>
    </w:p>
    <w:p>
      <w:pPr>
        <w:pStyle w:val="BodyText"/>
      </w:pPr>
      <w:r>
        <w:t xml:space="preserve">$32,800</w:t>
      </w:r>
    </w:p>
    <w:p>
      <w:pPr>
        <w:pStyle w:val="BodyText"/>
      </w:pPr>
      <w:r>
        <w:t xml:space="preserve">+15.1%</w:t>
      </w:r>
    </w:p>
    <w:p>
      <w:pPr>
        <w:pStyle w:val="BodyText"/>
      </w:pPr>
      <w:r>
        <w:t xml:space="preserve">Client Retention Rate</w:t>
      </w:r>
    </w:p>
    <w:p>
      <w:pPr>
        <w:pStyle w:val="BodyText"/>
      </w:pPr>
      <w:r>
        <w:t xml:space="preserve">76%</w:t>
      </w:r>
    </w:p>
    <w:p>
      <w:pPr>
        <w:pStyle w:val="BodyText"/>
      </w:pPr>
      <w:r>
        <w:t xml:space="preserve">89%</w:t>
      </w:r>
    </w:p>
    <w:p>
      <w:pPr>
        <w:pStyle w:val="BodyText"/>
      </w:pPr>
      <w:r>
        <w:t xml:space="preserve">+13 pts</w:t>
      </w:r>
    </w:p>
    <w:bookmarkStart w:id="24" w:name="regional-sales-breakdown"/>
    <w:p>
      <w:pPr>
        <w:pStyle w:val="Heading3"/>
      </w:pPr>
      <w:r>
        <w:t xml:space="preserve">Regional Sales Breakdown</w:t>
      </w:r>
    </w:p>
    <w:p>
      <w:pPr>
        <w:pStyle w:val="FirstParagraph"/>
      </w:pPr>
      <w:r>
        <w:t xml:space="preserve">Istanbul's sales performance demonstrates geographic concentration in high-demand zones:</w:t>
      </w:r>
    </w:p>
    <w:p>
      <w:pPr>
        <w:numPr>
          <w:ilvl w:val="0"/>
          <w:numId w:val="1002"/>
        </w:numPr>
        <w:pStyle w:val="Compact"/>
      </w:pPr>
      <w:r>
        <w:rPr>
          <w:bCs/>
          <w:b/>
        </w:rPr>
        <w:t xml:space="preserve">European Side (Kadıköy, Ümraniye):</w:t>
      </w:r>
      <w:r>
        <w:t xml:space="preserve"> </w:t>
      </w:r>
      <w:r>
        <w:t xml:space="preserve">48% of contracts, driven by premium private clinics and international schools.</w:t>
      </w:r>
    </w:p>
    <w:p>
      <w:pPr>
        <w:numPr>
          <w:ilvl w:val="0"/>
          <w:numId w:val="1002"/>
        </w:numPr>
        <w:pStyle w:val="Compact"/>
      </w:pPr>
      <w:r>
        <w:rPr>
          <w:bCs/>
          <w:b/>
        </w:rPr>
        <w:t xml:space="preserve">Anatolian Side (İzmir, Bahçelievler):</w:t>
      </w:r>
      <w:r>
        <w:t xml:space="preserve"> </w:t>
      </w:r>
      <w:r>
        <w:t xml:space="preserve">39% of contracts, fueled by public school mandates and expanding hospital networks.</w:t>
      </w:r>
    </w:p>
    <w:p>
      <w:pPr>
        <w:numPr>
          <w:ilvl w:val="0"/>
          <w:numId w:val="1002"/>
        </w:numPr>
        <w:pStyle w:val="Compact"/>
      </w:pPr>
      <w:r>
        <w:rPr>
          <w:bCs/>
          <w:b/>
        </w:rPr>
        <w:t xml:space="preserve">Central Istanbul (Bakırköy, Beşiktaş):</w:t>
      </w:r>
      <w:r>
        <w:t xml:space="preserve"> </w:t>
      </w:r>
      <w:r>
        <w:t xml:space="preserve">13% of contracts in high-revenue specialty centers.</w:t>
      </w:r>
    </w:p>
    <w:bookmarkEnd w:id="24"/>
    <w:bookmarkEnd w:id="25"/>
    <w:bookmarkStart w:id="26" w:name="X06d22d1993039df1fd3a2f5853cfd807b3d9f50"/>
    <w:p>
      <w:pPr>
        <w:pStyle w:val="Heading2"/>
      </w:pPr>
      <w:r>
        <w:t xml:space="preserve">Strategic Challenges in Turkey Istanbul Market</w:t>
      </w:r>
    </w:p>
    <w:p>
      <w:pPr>
        <w:pStyle w:val="FirstParagraph"/>
      </w:pPr>
      <w:r>
        <w:t xml:space="preserve">Despite robust growth, three critical challenges require immediate action:</w:t>
      </w:r>
    </w:p>
    <w:p>
      <w:pPr>
        <w:numPr>
          <w:ilvl w:val="0"/>
          <w:numId w:val="1003"/>
        </w:numPr>
        <w:pStyle w:val="Compact"/>
      </w:pPr>
      <w:r>
        <w:rPr>
          <w:bCs/>
          <w:b/>
        </w:rPr>
        <w:t xml:space="preserve">Certification Bottlenecks:</w:t>
      </w:r>
      <w:r>
        <w:t xml:space="preserve"> </w:t>
      </w:r>
      <w:r>
        <w:t xml:space="preserve">Only 14% of Turkish Speech Therapists hold internationally recognized certifications (e.g., ASHA), limiting service options for international schools and private hospitals in Turkey Istanbul. Our agency is addressing this through accelerated certification pathways.</w:t>
      </w:r>
    </w:p>
    <w:p>
      <w:pPr>
        <w:numPr>
          <w:ilvl w:val="0"/>
          <w:numId w:val="1003"/>
        </w:numPr>
        <w:pStyle w:val="Compact"/>
      </w:pPr>
      <w:r>
        <w:rPr>
          <w:bCs/>
          <w:b/>
        </w:rPr>
        <w:t xml:space="preserve">Urban Accessibility:</w:t>
      </w:r>
      <w:r>
        <w:t xml:space="preserve"> </w:t>
      </w:r>
      <w:r>
        <w:t xml:space="preserve">Istanbul's geographical spread creates logistics challenges—23% of new clients cite travel time as a barrier to therapy access. We're launching mobile therapy units in high-demand districts (Sarıyer, Kartal) by Q1 2025.</w:t>
      </w:r>
    </w:p>
    <w:p>
      <w:pPr>
        <w:numPr>
          <w:ilvl w:val="0"/>
          <w:numId w:val="1003"/>
        </w:numPr>
        <w:pStyle w:val="Compact"/>
      </w:pPr>
      <w:r>
        <w:rPr>
          <w:bCs/>
          <w:b/>
        </w:rPr>
        <w:t xml:space="preserve">Price Sensitivity:</w:t>
      </w:r>
      <w:r>
        <w:t xml:space="preserve"> </w:t>
      </w:r>
      <w:r>
        <w:t xml:space="preserve">While public sector contracts show stable pricing, private payers in Istanbul resist rates above $35 USD/session. Our solution is tiered service packages (basic/standard/premium) tailored to Istanbul's economic tiers.</w:t>
      </w:r>
    </w:p>
    <w:bookmarkEnd w:id="26"/>
    <w:bookmarkStart w:id="27" w:name="X1c6b384064b4ed24c1f644185beb3132d8bfb6e"/>
    <w:p>
      <w:pPr>
        <w:pStyle w:val="Heading2"/>
      </w:pPr>
      <w:r>
        <w:t xml:space="preserve">Recommendations for Sales Growth in Turkey Istanbul</w:t>
      </w:r>
    </w:p>
    <w:p>
      <w:pPr>
        <w:pStyle w:val="FirstParagraph"/>
      </w:pPr>
      <w:r>
        <w:t xml:space="preserve">Based on Q3 2024 data, we recommend these strategic initiatives to capitalize on Turkey Istanbul's market potential:</w:t>
      </w:r>
    </w:p>
    <w:p>
      <w:pPr>
        <w:numPr>
          <w:ilvl w:val="0"/>
          <w:numId w:val="1004"/>
        </w:numPr>
        <w:pStyle w:val="Compact"/>
      </w:pPr>
      <w:r>
        <w:rPr>
          <w:bCs/>
          <w:b/>
        </w:rPr>
        <w:t xml:space="preserve">Expand School Partnerships:</w:t>
      </w:r>
      <w:r>
        <w:t xml:space="preserve"> </w:t>
      </w:r>
      <w:r>
        <w:t xml:space="preserve">Target Istanbul's 8,750 public schools for mandatory Speech Therapist contracts. We project $22M in annual sales from this channel by end-2025 through government tender submissions.</w:t>
      </w:r>
    </w:p>
    <w:p>
      <w:pPr>
        <w:numPr>
          <w:ilvl w:val="0"/>
          <w:numId w:val="1004"/>
        </w:numPr>
        <w:pStyle w:val="Compact"/>
      </w:pPr>
      <w:r>
        <w:rPr>
          <w:bCs/>
          <w:b/>
        </w:rPr>
        <w:t xml:space="preserve">Develop AI-Assisted Screening Tools:</w:t>
      </w:r>
      <w:r>
        <w:t xml:space="preserve"> </w:t>
      </w:r>
      <w:r>
        <w:t xml:space="preserve">Launch "Istanbul Speech Scout" app—free to schools for early disorder detection. This drives qualified leads to our therapist services, with 63% of pilot users converting to paid therapy.</w:t>
      </w:r>
    </w:p>
    <w:p>
      <w:pPr>
        <w:numPr>
          <w:ilvl w:val="0"/>
          <w:numId w:val="1004"/>
        </w:numPr>
        <w:pStyle w:val="Compact"/>
      </w:pPr>
      <w:r>
        <w:rPr>
          <w:bCs/>
          <w:b/>
        </w:rPr>
        <w:t xml:space="preserve">Leverage Cultural Nuances:</w:t>
      </w:r>
      <w:r>
        <w:t xml:space="preserve"> </w:t>
      </w:r>
      <w:r>
        <w:t xml:space="preserve">Create Turkish-language teletherapy content addressing regional dialects (e.g., Istanbul Turkish vs. Anatolian Turkish). Pilot campaigns show 28% higher engagement in culturally tailored materials.</w:t>
      </w:r>
    </w:p>
    <w:p>
      <w:pPr>
        <w:numPr>
          <w:ilvl w:val="0"/>
          <w:numId w:val="1004"/>
        </w:numPr>
        <w:pStyle w:val="Compact"/>
      </w:pPr>
      <w:r>
        <w:rPr>
          <w:bCs/>
          <w:b/>
        </w:rPr>
        <w:t xml:space="preserve">Build Therapist Talent Pipeline:</w:t>
      </w:r>
      <w:r>
        <w:t xml:space="preserve"> </w:t>
      </w:r>
      <w:r>
        <w:t xml:space="preserve">Partner with Istanbul Technical University to establish a certified Speech Therapist training program. This secures exclusive access to Turkey's top graduates, reducing client acquisition costs by 32%.</w:t>
      </w:r>
    </w:p>
    <w:bookmarkEnd w:id="27"/>
    <w:bookmarkStart w:id="28" w:name="conclusion"/>
    <w:p>
      <w:pPr>
        <w:pStyle w:val="Heading2"/>
      </w:pPr>
      <w:r>
        <w:t xml:space="preserve">Conclusion</w:t>
      </w:r>
    </w:p>
    <w:p>
      <w:pPr>
        <w:pStyle w:val="FirstParagraph"/>
      </w:pPr>
      <w:r>
        <w:t xml:space="preserve">This Sales Report confirms Turkey Istanbul as the undisputed epicenter for Speech Therapy services in Türkiye. With healthcare reforms creating structural demand, our agency's 37% growth trajectory demonstrates clear market leadership. However, sustaining this momentum requires aggressive talent development and culturally intelligent service delivery. As the only provider offering certified Speech Therapists fully aligned with Turkey's regulatory framework, we project $126M in annual revenue from Istanbul alone by 2026—representing 58% of our global sales portfolio.</w:t>
      </w:r>
    </w:p>
    <w:p>
      <w:pPr>
        <w:pStyle w:val="BodyText"/>
      </w:pPr>
      <w:r>
        <w:t xml:space="preserve">Investment in localized strategies (certification pathways, mobile units, dialect-sensitive tools) will cement our position as the preeminent Speech Therapist solution provider across Turkey Istanbul. We recommend immediate budget allocation for the Istanbul Talent Pipeline initiative to capture 35% of projected market growth in 2025. The data is unequivocal: In Turkey Istanbul, where every child and adult deserves access to communication therapy, our strategic focus on certified Speech Therapist deployment is not just a business opportunity—it's a societal imperative.</w:t>
      </w:r>
    </w:p>
    <w:p>
      <w:pPr>
        <w:pStyle w:val="BodyText"/>
      </w:pPr>
      <w:r>
        <w:rPr>
          <w:bCs/>
          <w:b/>
        </w:rPr>
        <w:t xml:space="preserve">Prepared by:</w:t>
      </w:r>
      <w:r>
        <w:t xml:space="preserve"> </w:t>
      </w:r>
      <w:r>
        <w:t xml:space="preserve">Global Healthcare Solutions | Istanbul Operations</w:t>
      </w:r>
      <w:r>
        <w:br/>
      </w:r>
      <w:r>
        <w:rPr>
          <w:iCs/>
          <w:i/>
        </w:rPr>
        <w:t xml:space="preserve">Sales Intelligence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Turkey Istanbul</dc:title>
  <dc:creator/>
  <dc:language>en</dc:language>
  <cp:keywords/>
  <dcterms:created xsi:type="dcterms:W3CDTF">2026-07-23T17:14:39Z</dcterms:created>
  <dcterms:modified xsi:type="dcterms:W3CDTF">2026-07-23T17:14:39Z</dcterms:modified>
</cp:coreProperties>
</file>

<file path=docProps/custom.xml><?xml version="1.0" encoding="utf-8"?>
<Properties xmlns="http://schemas.openxmlformats.org/officeDocument/2006/custom-properties" xmlns:vt="http://schemas.openxmlformats.org/officeDocument/2006/docPropsVTypes"/>
</file>