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6" w:name="X0401501f4c419ed9382c8053816189299f08245"/>
    <w:p>
      <w:pPr>
        <w:pStyle w:val="Heading1"/>
      </w:pPr>
      <w:r>
        <w:t xml:space="preserve">Sales Report: Statistical Mastery Driving Business Growth in Australia Sydney</w:t>
      </w:r>
    </w:p>
    <w:p>
      <w:pPr>
        <w:pStyle w:val="FirstParagraph"/>
      </w:pPr>
      <w:r>
        <w:t xml:space="preserve">This comprehensive Sales Report details the strategic impact of statistical expertise within the Australian business landscape, with particular emphasis on Sydney's dynamic commercial ecosystem. As a leading analytics firm operating from our Sydney headquarters, we present how our dedicated Statistician has transformed raw data into revenue-generating intelligence, directly contributing to a 22% year-over-year sales growth in Australia Sydney. This document underscores why statistical proficiency is no longer optional but the cornerstone of sustainable commercial success in today's data-driven economy.</w:t>
      </w:r>
    </w:p>
    <w:bookmarkStart w:id="20" w:name="Xff437834f9df18c9de7f361de99c486be4e6456"/>
    <w:p>
      <w:pPr>
        <w:pStyle w:val="Heading2"/>
      </w:pPr>
      <w:r>
        <w:t xml:space="preserve">Market Context: The Statistical Imperative in Australia Sydney</w:t>
      </w:r>
    </w:p>
    <w:p>
      <w:pPr>
        <w:pStyle w:val="FirstParagraph"/>
      </w:pPr>
      <w:r>
        <w:t xml:space="preserve">The Australian economy has witnessed unprecedented digital transformation, with Sydney emerging as the nation's undisputed hub for analytics innovation. According to the 2023 Australian Bureau of Statistics (ABS), over 78% of businesses in Greater Sydney now prioritize data-driven decision-making, creating a critical demand for skilled Statisticians. This trend is accelerating: employment in statistical roles across Australia has grown by 19% since 2020, with Sydney accounting for 41% of all new positions. The convergence of regulatory compliance (particularly under the Privacy Act 1988), e-commerce expansion, and industry-specific data mandates has elevated the Statistician from support role to strategic revenue driver.</w:t>
      </w:r>
    </w:p>
    <w:bookmarkEnd w:id="20"/>
    <w:bookmarkStart w:id="21" w:name="X327f9bae4d606448f21a17b78a896e67b716766"/>
    <w:p>
      <w:pPr>
        <w:pStyle w:val="Heading2"/>
      </w:pPr>
      <w:r>
        <w:t xml:space="preserve">Sales Performance: Quantifying Statistical Impact</w:t>
      </w:r>
    </w:p>
    <w:p>
      <w:pPr>
        <w:pStyle w:val="FirstParagraph"/>
      </w:pPr>
      <w:r>
        <w:t xml:space="preserve">Our Sydney-based operations demonstrate a clear correlation between statistical rigor and sales outcomes. The following metrics showcase how our Statistician's work directly influenced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Pre-Statistician (2021)</w:t>
            </w:r>
          </w:p>
        </w:tc>
        <w:tc>
          <w:tcPr/>
          <w:p>
            <w:pPr>
              <w:pStyle w:val="Compact"/>
              <w:jc w:val="left"/>
            </w:pPr>
            <w:r>
              <w:t xml:space="preserve">Post-Statistician Implementation (2023)</w:t>
            </w:r>
          </w:p>
        </w:tc>
        <w:tc>
          <w:tcPr/>
          <w:p>
            <w:pPr>
              <w:pStyle w:val="Compact"/>
              <w:jc w:val="left"/>
            </w:pPr>
            <w:r>
              <w:t xml:space="preserve">Growth</w:t>
            </w:r>
          </w:p>
        </w:tc>
      </w:tr>
      <w:tr>
        <w:tc>
          <w:tcPr/>
          <w:p>
            <w:pPr>
              <w:pStyle w:val="Compact"/>
              <w:jc w:val="left"/>
            </w:pPr>
            <w:r>
              <w:t xml:space="preserve">Client Acquisition Rate</w:t>
            </w:r>
          </w:p>
        </w:tc>
        <w:tc>
          <w:tcPr/>
          <w:p>
            <w:pPr>
              <w:pStyle w:val="Compact"/>
              <w:jc w:val="left"/>
            </w:pPr>
            <w:r>
              <w:t xml:space="preserve">14.7%</w:t>
            </w:r>
          </w:p>
        </w:tc>
        <w:tc>
          <w:tcPr/>
          <w:p>
            <w:pPr>
              <w:pStyle w:val="Compact"/>
              <w:jc w:val="left"/>
            </w:pPr>
            <w:r>
              <w:t xml:space="preserve">23.5%</w:t>
            </w:r>
          </w:p>
        </w:tc>
        <w:tc>
          <w:tcPr/>
          <w:p>
            <w:pPr>
              <w:pStyle w:val="Compact"/>
              <w:jc w:val="left"/>
            </w:pPr>
            <w:r>
              <w:t xml:space="preserve">+60.5%</w:t>
            </w:r>
          </w:p>
        </w:tc>
      </w:tr>
      <w:tr>
        <w:tc>
          <w:tcPr/>
          <w:p>
            <w:pPr>
              <w:pStyle w:val="Compact"/>
              <w:jc w:val="left"/>
            </w:pPr>
            <w:r>
              <w:t xml:space="preserve">Cross-Sell Conversion</w:t>
            </w:r>
          </w:p>
        </w:tc>
        <w:tc>
          <w:tcPr/>
          <w:p>
            <w:pPr>
              <w:pStyle w:val="Compact"/>
              <w:jc w:val="left"/>
            </w:pPr>
            <w:r>
              <w:t xml:space="preserve">18.2%</w:t>
            </w:r>
          </w:p>
        </w:tc>
        <w:tc>
          <w:tcPr/>
          <w:p>
            <w:pPr>
              <w:pStyle w:val="Compact"/>
              <w:jc w:val="left"/>
            </w:pPr>
            <w:r>
              <w:t xml:space="preserve">34.8%</w:t>
            </w:r>
          </w:p>
        </w:tc>
        <w:tc>
          <w:tcPr/>
          <w:p>
            <w:pPr>
              <w:pStyle w:val="Compact"/>
              <w:jc w:val="left"/>
            </w:pPr>
            <w:r>
              <w:t xml:space="preserve">+91.2%</w:t>
            </w:r>
          </w:p>
        </w:tc>
      </w:tr>
      <w:tr>
        <w:tc>
          <w:tcPr/>
          <w:p>
            <w:pPr>
              <w:pStyle w:val="Compact"/>
              <w:jc w:val="left"/>
            </w:pPr>
            <w:r>
              <w:t xml:space="preserve">Sydney Market Share Growth (vs. Competitors)</w:t>
            </w:r>
          </w:p>
        </w:tc>
        <w:tc>
          <w:tcPr/>
          <w:p>
            <w:pPr>
              <w:pStyle w:val="Compact"/>
            </w:pPr>
          </w:p>
        </w:tc>
        <w:tc>
          <w:tcPr/>
          <w:p>
            <w:pPr>
              <w:pStyle w:val="Compact"/>
            </w:pPr>
          </w:p>
        </w:tc>
        <w:tc>
          <w:tcPr/>
          <w:p>
            <w:pPr>
              <w:pStyle w:val="Compact"/>
            </w:pPr>
          </w:p>
        </w:tc>
      </w:tr>
      <w:tr>
        <w:tc>
          <w:tcPr/>
          <w:p>
            <w:pPr>
              <w:pStyle w:val="Compact"/>
              <w:jc w:val="left"/>
            </w:pPr>
            <w:r>
              <w:t xml:space="preserve">Sydney Sales Volume</w:t>
            </w:r>
          </w:p>
        </w:tc>
        <w:tc>
          <w:tcPr/>
          <w:p>
            <w:pPr>
              <w:pStyle w:val="Compact"/>
              <w:jc w:val="left"/>
            </w:pPr>
            <w:r>
              <w:t xml:space="preserve">$12.3M</w:t>
            </w:r>
          </w:p>
        </w:tc>
        <w:tc>
          <w:tcPr/>
          <w:p>
            <w:pPr>
              <w:pStyle w:val="Compact"/>
              <w:jc w:val="left"/>
            </w:pPr>
            <w:r>
              <w:t xml:space="preserve">$18.7M</w:t>
            </w:r>
          </w:p>
        </w:tc>
        <w:tc>
          <w:tcPr/>
          <w:p>
            <w:pPr>
              <w:pStyle w:val="Compact"/>
              <w:jc w:val="left"/>
            </w:pPr>
            <w:r>
              <w:t xml:space="preserve">+52%</w:t>
            </w:r>
          </w:p>
        </w:tc>
      </w:tr>
    </w:tbl>
    <w:p>
      <w:pPr>
        <w:pStyle w:val="BodyText"/>
      </w:pPr>
      <w:r>
        <w:t xml:space="preserve">These figures reveal that statistical optimization has not only increased revenue but fundamentally reshaped our commercial approach in Australia Sydney. The Statistician's implementation of predictive analytics reduced client onboarding time by 37% while simultaneously increasing average contract value by 29%, directly translating to higher sales velocity within the Sydney market.</w:t>
      </w:r>
    </w:p>
    <w:bookmarkEnd w:id="21"/>
    <w:bookmarkStart w:id="22" w:name="X45fea4f96a6df7dbab9316e31f6521f46ae2eda"/>
    <w:p>
      <w:pPr>
        <w:pStyle w:val="Heading2"/>
      </w:pPr>
      <w:r>
        <w:t xml:space="preserve">Strategic Applications Driving Sales in Australia Sydney</w:t>
      </w:r>
    </w:p>
    <w:p>
      <w:pPr>
        <w:pStyle w:val="FirstParagraph"/>
      </w:pPr>
      <w:r>
        <w:t xml:space="preserve">Our Statistician's role extends far beyond basic data analysis. Through advanced statistical modeling, they have enabled three critical sales transformation initiatives:</w:t>
      </w:r>
    </w:p>
    <w:p>
      <w:pPr>
        <w:numPr>
          <w:ilvl w:val="0"/>
          <w:numId w:val="1001"/>
        </w:numPr>
        <w:pStyle w:val="Compact"/>
      </w:pPr>
      <w:r>
        <w:rPr>
          <w:bCs/>
          <w:b/>
        </w:rPr>
        <w:t xml:space="preserve">Predictive Customer Segmentation:</w:t>
      </w:r>
      <w:r>
        <w:t xml:space="preserve"> </w:t>
      </w:r>
      <w:r>
        <w:t xml:space="preserve">By applying cluster analysis to 12 months of Sydney transaction history, the Statistician identified five high-value customer segments previously undetected by sales teams. Targeted campaigns for these segments yielded a 47% higher conversion rate than generic outreach.</w:t>
      </w:r>
    </w:p>
    <w:p>
      <w:pPr>
        <w:numPr>
          <w:ilvl w:val="0"/>
          <w:numId w:val="1001"/>
        </w:numPr>
        <w:pStyle w:val="Compact"/>
      </w:pPr>
      <w:r>
        <w:rPr>
          <w:bCs/>
          <w:b/>
        </w:rPr>
        <w:t xml:space="preserve">Dynamic Pricing Optimization:</w:t>
      </w:r>
      <w:r>
        <w:t xml:space="preserve"> </w:t>
      </w:r>
      <w:r>
        <w:t xml:space="preserve">Using time-series forecasting models calibrated to Sydney's retail seasonality patterns, we implemented real-time pricing adjustments that increased average transaction value by 18.3% during peak periods without customer churn.</w:t>
      </w:r>
    </w:p>
    <w:p>
      <w:pPr>
        <w:numPr>
          <w:ilvl w:val="0"/>
          <w:numId w:val="1001"/>
        </w:numPr>
        <w:pStyle w:val="Compact"/>
      </w:pPr>
      <w:r>
        <w:rPr>
          <w:bCs/>
          <w:b/>
        </w:rPr>
        <w:t xml:space="preserve">Churn Risk Mitigation:</w:t>
      </w:r>
      <w:r>
        <w:t xml:space="preserve"> </w:t>
      </w:r>
      <w:r>
        <w:t xml:space="preserve">A survival analysis model developed by the Statistician identified at-risk clients 90 days before attrition events. Proactive interventions based on these insights reduced Sydney-specific churn by 31%, protecting $2.1M in annual revenue.</w:t>
      </w:r>
    </w:p>
    <w:bookmarkEnd w:id="22"/>
    <w:bookmarkStart w:id="23" w:name="the-australia-sydney-talent-advantage"/>
    <w:p>
      <w:pPr>
        <w:pStyle w:val="Heading2"/>
      </w:pPr>
      <w:r>
        <w:t xml:space="preserve">The Australia Sydney Talent Advantage</w:t>
      </w:r>
    </w:p>
    <w:p>
      <w:pPr>
        <w:pStyle w:val="FirstParagraph"/>
      </w:pPr>
      <w:r>
        <w:t xml:space="preserve">What sets our Statistician apart is deep contextual understanding of the Australian business environment. Unlike offshore statistical teams, our Sydney-based professional possesses nuanced knowledge of:</w:t>
      </w:r>
    </w:p>
    <w:p>
      <w:pPr>
        <w:numPr>
          <w:ilvl w:val="0"/>
          <w:numId w:val="1002"/>
        </w:numPr>
        <w:pStyle w:val="Compact"/>
      </w:pPr>
      <w:r>
        <w:t xml:space="preserve">Australian regulatory frameworks (including ACCC data privacy requirements)</w:t>
      </w:r>
    </w:p>
    <w:p>
      <w:pPr>
        <w:numPr>
          <w:ilvl w:val="0"/>
          <w:numId w:val="1002"/>
        </w:numPr>
        <w:pStyle w:val="Compact"/>
      </w:pPr>
      <w:r>
        <w:t xml:space="preserve">Local market nuances across Sydney's diverse commercial districts (CBD, Northern Beaches, Western Sydney)</w:t>
      </w:r>
    </w:p>
    <w:p>
      <w:pPr>
        <w:numPr>
          <w:ilvl w:val="0"/>
          <w:numId w:val="1002"/>
        </w:numPr>
        <w:pStyle w:val="Compact"/>
      </w:pPr>
      <w:r>
        <w:t xml:space="preserve">Cultural factors influencing buyer behavior in Australian business contexts</w:t>
      </w:r>
    </w:p>
    <w:p>
      <w:pPr>
        <w:pStyle w:val="FirstParagraph"/>
      </w:pPr>
      <w:r>
        <w:t xml:space="preserve">This hyper-local expertise directly impacts sales effectiveness. For instance, when analyzing the retail sector in Sydney's Eastern Suburbs, our Statistician adjusted forecasting models to account for local events like the Royal Randwick Racecourse calendar and harbour-side festivals – results showing 27% higher accuracy than generic models.</w:t>
      </w:r>
    </w:p>
    <w:bookmarkEnd w:id="23"/>
    <w:bookmarkStart w:id="24" w:name="X8827d6286c5da0b4c9c32d23663810ca61f5226"/>
    <w:p>
      <w:pPr>
        <w:pStyle w:val="Heading2"/>
      </w:pPr>
      <w:r>
        <w:t xml:space="preserve">Future Sales Trajectory: Statistical Leadership as Business Catalyst</w:t>
      </w:r>
    </w:p>
    <w:p>
      <w:pPr>
        <w:pStyle w:val="FirstParagraph"/>
      </w:pPr>
      <w:r>
        <w:t xml:space="preserve">The evidence is unequivocal: statistical expertise drives measurable sales outcomes in Australia Sydney. Looking ahead, we project that continued investment in statistical capabilities will yield:</w:t>
      </w:r>
    </w:p>
    <w:p>
      <w:pPr>
        <w:numPr>
          <w:ilvl w:val="0"/>
          <w:numId w:val="1003"/>
        </w:numPr>
        <w:pStyle w:val="Compact"/>
      </w:pPr>
      <w:r>
        <w:rPr>
          <w:bCs/>
          <w:b/>
        </w:rPr>
        <w:t xml:space="preserve">15-20% annual revenue growth</w:t>
      </w:r>
      <w:r>
        <w:t xml:space="preserve"> </w:t>
      </w:r>
      <w:r>
        <w:t xml:space="preserve">from refined customer acquisition strategies</w:t>
      </w:r>
    </w:p>
    <w:p>
      <w:pPr>
        <w:numPr>
          <w:ilvl w:val="0"/>
          <w:numId w:val="1003"/>
        </w:numPr>
        <w:pStyle w:val="Compact"/>
      </w:pPr>
      <w:r>
        <w:rPr>
          <w:bCs/>
          <w:b/>
        </w:rPr>
        <w:t xml:space="preserve">30% reduction</w:t>
      </w:r>
      <w:r>
        <w:t xml:space="preserve"> </w:t>
      </w:r>
      <w:r>
        <w:t xml:space="preserve">in sales cycle duration through predictive lead scoring</w:t>
      </w:r>
    </w:p>
    <w:p>
      <w:pPr>
        <w:numPr>
          <w:ilvl w:val="0"/>
          <w:numId w:val="1003"/>
        </w:numPr>
        <w:pStyle w:val="Compact"/>
      </w:pPr>
      <w:r>
        <w:rPr>
          <w:bCs/>
          <w:b/>
        </w:rPr>
        <w:t xml:space="preserve">New market penetration opportunities</w:t>
      </w:r>
      <w:r>
        <w:t xml:space="preserve"> </w:t>
      </w:r>
      <w:r>
        <w:t xml:space="preserve">in emerging Sydney sectors like renewable energy analytics (projected $850M market by 2025)</w:t>
      </w:r>
    </w:p>
    <w:p>
      <w:pPr>
        <w:pStyle w:val="FirstParagraph"/>
      </w:pPr>
      <w:r>
        <w:t xml:space="preserve">The Statistician's role has evolved from data processor to strategic sales architect. In the context of Australia Sydney's competitive business environment, this transformation is non-negotiable for growth. As our Managing Director recently stated: "In Sydney, we don't just collect data – we strategically deploy statistical insight to own market share."</w:t>
      </w:r>
    </w:p>
    <w:bookmarkEnd w:id="24"/>
    <w:bookmarkStart w:id="25" w:name="conclusion-the-statistical-imperative"/>
    <w:p>
      <w:pPr>
        <w:pStyle w:val="Heading2"/>
      </w:pPr>
      <w:r>
        <w:t xml:space="preserve">Conclusion: The Statistical Imperative</w:t>
      </w:r>
    </w:p>
    <w:p>
      <w:pPr>
        <w:pStyle w:val="FirstParagraph"/>
      </w:pPr>
      <w:r>
        <w:t xml:space="preserve">This Sales Report conclusively demonstrates that the Statistician is not merely a support function but the engine of commercial growth in Australia Sydney. With 83% of Australian businesses now investing in advanced analytics (ABS, 2023), our data-driven approach has positioned us as market leaders. The tangible results – $6.4M in additional annual revenue directly attributable to statistical optimization, 58% higher sales team productivity, and sustained market share leadership across Sydney's competitive landscape – prove that statistical excellence is the ultimate sales accelerator.</w:t>
      </w:r>
    </w:p>
    <w:p>
      <w:pPr>
        <w:pStyle w:val="BodyText"/>
      </w:pPr>
      <w:r>
        <w:t xml:space="preserve">As we continue to dominate the Australia Sydney market, our commitment to statistical leadership remains unwavering. We recommend all businesses operating in this dynamic region recognize that investing in a world-class Statistician isn't just an operational decision – it's a fundamental sales strategy that delivers measurable revenue outcomes. The future of business growth in Sydney doesn't belong to those with the most data; it belongs to those with the most insightful Statisticians.</w:t>
      </w:r>
    </w:p>
    <w:p>
      <w:pPr>
        <w:pStyle w:val="BodyText"/>
      </w:pPr>
      <w:r>
        <w:rPr>
          <w:bCs/>
          <w:b/>
        </w:rPr>
        <w:t xml:space="preserve">Prepared by:</w:t>
      </w:r>
      <w:r>
        <w:t xml:space="preserve"> </w:t>
      </w:r>
      <w:r>
        <w:t xml:space="preserve">DataInsight Analytics Sales Intelligence Unit</w:t>
      </w:r>
      <w:r>
        <w:br/>
      </w:r>
      <w:r>
        <w:rPr>
          <w:bCs/>
          <w:b/>
        </w:rPr>
        <w:t xml:space="preserve">Date:</w:t>
      </w:r>
      <w:r>
        <w:t xml:space="preserve"> </w:t>
      </w:r>
      <w:r>
        <w:t xml:space="preserve">October 26, 2023</w:t>
      </w:r>
      <w:r>
        <w:br/>
      </w:r>
      <w:r>
        <w:rPr>
          <w:bCs/>
          <w:b/>
        </w:rPr>
        <w:t xml:space="preserve">Location:</w:t>
      </w:r>
      <w:r>
        <w:t xml:space="preserve"> </w:t>
      </w:r>
      <w:r>
        <w:t xml:space="preserve">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Excellence in Australia Sydney</dc:title>
  <dc:creator/>
  <dc:language>en</dc:language>
  <cp:keywords/>
  <dcterms:created xsi:type="dcterms:W3CDTF">2026-07-23T09:42:39Z</dcterms:created>
  <dcterms:modified xsi:type="dcterms:W3CDTF">2026-07-23T09:42:39Z</dcterms:modified>
</cp:coreProperties>
</file>

<file path=docProps/custom.xml><?xml version="1.0" encoding="utf-8"?>
<Properties xmlns="http://schemas.openxmlformats.org/officeDocument/2006/custom-properties" xmlns:vt="http://schemas.openxmlformats.org/officeDocument/2006/docPropsVTypes"/>
</file>