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7" w:name="X432a2bdb8391cdcd6110217c56670b37af9878b"/>
    <w:p>
      <w:pPr>
        <w:pStyle w:val="Heading1"/>
      </w:pPr>
      <w:r>
        <w:t xml:space="preserve">Comprehensive Sales Performance Report: Statistical Analysis Driving Growth in Colombia Medellín</w:t>
      </w:r>
    </w:p>
    <w:bookmarkStart w:id="20" w:name="executive-summary"/>
    <w:p>
      <w:pPr>
        <w:pStyle w:val="Heading2"/>
      </w:pPr>
      <w:r>
        <w:t xml:space="preserve">Executive Summary</w:t>
      </w:r>
    </w:p>
    <w:p>
      <w:pPr>
        <w:pStyle w:val="FirstParagraph"/>
      </w:pPr>
      <w:r>
        <w:t xml:space="preserve">This Sales Report details the exceptional performance of our statistical operations within the Medellín market, Colombia. As a leading analytics-driven enterprise, we have strategically integrated the role of a Senior Statistician into our commercial framework to optimize sales outcomes across this dynamic Colombian city. The data confirms that leveraging statistical expertise has directly contributed to a 37% year-over-year revenue increase in Medellín, surpassing regional targets by 18%. This document substantiates how the Statistician's analytical rigor transformed market entry strategies, customer segmentation, and predictive sales planning within Colombia Medellín's competitive landscape.</w:t>
      </w:r>
    </w:p>
    <w:bookmarkEnd w:id="20"/>
    <w:bookmarkStart w:id="21" w:name="X15a09d627b24f418d643e22ec7300e2e8d4960d"/>
    <w:p>
      <w:pPr>
        <w:pStyle w:val="Heading2"/>
      </w:pPr>
      <w:r>
        <w:t xml:space="preserve">Key Sales Metrics: Colombia Medellín Performance</w:t>
      </w:r>
    </w:p>
    <w:p>
      <w:pPr>
        <w:pStyle w:val="FirstParagraph"/>
      </w:pPr>
      <w:r>
        <w:t xml:space="preserve">Quarter</w:t>
      </w:r>
    </w:p>
    <w:p>
      <w:pPr>
        <w:pStyle w:val="BodyText"/>
      </w:pPr>
      <w:r>
        <w:t xml:space="preserve">Revenue (USD)</w:t>
      </w:r>
    </w:p>
    <w:p>
      <w:pPr>
        <w:pStyle w:val="BodyText"/>
      </w:pPr>
      <w:r>
        <w:t xml:space="preserve">Growth vs Previous Qtr</w:t>
      </w:r>
    </w:p>
    <w:p>
      <w:pPr>
        <w:pStyle w:val="BodyText"/>
      </w:pPr>
      <w:r>
        <w:t xml:space="preserve">Customer Acquisition Cost (CAC)</w:t>
      </w:r>
    </w:p>
    <w:p>
      <w:pPr>
        <w:pStyle w:val="BodyText"/>
      </w:pPr>
      <w:r>
        <w:t xml:space="preserve">Q1 2023</w:t>
      </w:r>
    </w:p>
    <w:p>
      <w:pPr>
        <w:pStyle w:val="BodyText"/>
      </w:pPr>
      <w:r>
        <w:t xml:space="preserve">$418,500</w:t>
      </w:r>
    </w:p>
    <w:p>
      <w:pPr>
        <w:pStyle w:val="BodyText"/>
      </w:pPr>
      <w:r>
        <w:t xml:space="preserve">N/A</w:t>
      </w:r>
    </w:p>
    <w:p>
      <w:pPr>
        <w:pStyle w:val="BodyText"/>
      </w:pPr>
      <w:r>
        <w:t xml:space="preserve">$387</w:t>
      </w:r>
    </w:p>
    <w:p>
      <w:pPr>
        <w:pStyle w:val="BodyText"/>
      </w:pPr>
      <w:r>
        <w:t xml:space="preserve">Q2 2023</w:t>
      </w:r>
    </w:p>
    <w:p>
      <w:pPr>
        <w:pStyle w:val="BodyText"/>
      </w:pPr>
      <w:r>
        <w:t xml:space="preserve">$496,250</w:t>
      </w:r>
    </w:p>
    <w:p>
      <w:pPr>
        <w:pStyle w:val="BodyText"/>
      </w:pPr>
      <w:r>
        <w:t xml:space="preserve">+18.6%</w:t>
      </w:r>
    </w:p>
    <w:p>
      <w:pPr>
        <w:pStyle w:val="BodyText"/>
      </w:pPr>
      <w:r>
        <w:t xml:space="preserve">Q3 2023</w:t>
      </w:r>
    </w:p>
    <w:p>
      <w:pPr>
        <w:pStyle w:val="BodyText"/>
      </w:pPr>
      <w:r>
        <w:t xml:space="preserve">&lt;</w:t>
      </w:r>
    </w:p>
    <w:p>
      <w:pPr>
        <w:pStyle w:val="BodyText"/>
      </w:pPr>
      <w:r>
        <w:t xml:space="preserve">$589,700</w:t>
      </w:r>
    </w:p>
    <w:p>
      <w:pPr>
        <w:pStyle w:val="BodyText"/>
      </w:pPr>
      <w:r>
        <w:t xml:space="preserve">+18.8%</w:t>
      </w:r>
    </w:p>
    <w:p>
      <w:pPr>
        <w:pStyle w:val="BodyText"/>
      </w:pPr>
      <w:r>
        <w:t xml:space="preserve">Q4 2023</w:t>
      </w:r>
    </w:p>
    <w:p>
      <w:pPr>
        <w:pStyle w:val="BodyText"/>
      </w:pPr>
      <w:r>
        <w:t xml:space="preserve">$674,150</w:t>
      </w:r>
    </w:p>
    <w:p>
      <w:pPr>
        <w:pStyle w:val="BodyText"/>
      </w:pPr>
      <w:r>
        <w:t xml:space="preserve">+14.3%</w:t>
      </w:r>
    </w:p>
    <w:p>
      <w:pPr>
        <w:pStyle w:val="BodyText"/>
      </w:pPr>
      <w:r>
        <w:t xml:space="preserve">The consistent upward trajectory in Colombia Medellín's sales performance is directly attributable to our Statistician's data-driven interventions. By implementing advanced regression models for demand forecasting, we reduced inventory costs by 22% while simultaneously increasing on-time delivery rates to 98.7% – a critical factor in Medellín's fast-paced commercial environment.</w:t>
      </w:r>
    </w:p>
    <w:bookmarkEnd w:id="21"/>
    <w:bookmarkStart w:id="22" w:name="X52537dd310cb37ba213c6fd4281cd229c8b941d"/>
    <w:p>
      <w:pPr>
        <w:pStyle w:val="Heading2"/>
      </w:pPr>
      <w:r>
        <w:t xml:space="preserve">The Strategic Role of the Statistician in Colombia Medellín</w:t>
      </w:r>
    </w:p>
    <w:p>
      <w:pPr>
        <w:pStyle w:val="FirstParagraph"/>
      </w:pPr>
      <w:r>
        <w:t xml:space="preserve">In the highly competitive Colombian market, our Statistician has evolved from a data analyst into a strategic business partner. Within Medellín – Colombia's second-largest city with 2.5 million inhabitants and diverse economic sectors – the Statistician executed three pivotal initiatives:</w:t>
      </w:r>
    </w:p>
    <w:p>
      <w:pPr>
        <w:numPr>
          <w:ilvl w:val="0"/>
          <w:numId w:val="1001"/>
        </w:numPr>
        <w:pStyle w:val="Compact"/>
      </w:pPr>
      <w:r>
        <w:rPr>
          <w:bCs/>
          <w:b/>
        </w:rPr>
        <w:t xml:space="preserve">Hyper-Local Customer Segmentation:</w:t>
      </w:r>
      <w:r>
        <w:t xml:space="preserve"> </w:t>
      </w:r>
      <w:r>
        <w:t xml:space="preserve">Analyzed 12,000+ Medellín customer profiles using k-means clustering to identify high-potential segments. This revealed that 63% of untapped revenue lay in the "Mid-Tier Manufacturing" sector (previously overlooked), leading to a targeted sales campaign that generated $215,000 in Q4 2023.</w:t>
      </w:r>
    </w:p>
    <w:p>
      <w:pPr>
        <w:numPr>
          <w:ilvl w:val="0"/>
          <w:numId w:val="1001"/>
        </w:numPr>
        <w:pStyle w:val="Compact"/>
      </w:pPr>
      <w:r>
        <w:rPr>
          <w:bCs/>
          <w:b/>
        </w:rPr>
        <w:t xml:space="preserve">Churn Prediction Model:</w:t>
      </w:r>
      <w:r>
        <w:t xml:space="preserve"> </w:t>
      </w:r>
      <w:r>
        <w:t xml:space="preserve">Developed a survival analysis model identifying at-risk clients with 89% accuracy. Proactive retention strategies implemented based on these insights reduced customer churn by 31% in Medellín, saving an estimated $146,000 in potential lost revenue.</w:t>
      </w:r>
    </w:p>
    <w:p>
      <w:pPr>
        <w:numPr>
          <w:ilvl w:val="0"/>
          <w:numId w:val="1001"/>
        </w:numPr>
        <w:pStyle w:val="Compact"/>
      </w:pPr>
      <w:r>
        <w:rPr>
          <w:bCs/>
          <w:b/>
        </w:rPr>
        <w:t xml:space="preserve">Pricing Optimization:</w:t>
      </w:r>
      <w:r>
        <w:t xml:space="preserve"> </w:t>
      </w:r>
      <w:r>
        <w:t xml:space="preserve">Conducted conjoint analysis across Medellín's consumer price sensitivity thresholds. Adjusting our pricing strategy based on statistical findings increased average transaction value by 27% without customer attrition.</w:t>
      </w:r>
    </w:p>
    <w:bookmarkEnd w:id="22"/>
    <w:bookmarkStart w:id="23" w:name="X751e19246dc79d943eb0456edf46fae7fb2a3a4"/>
    <w:p>
      <w:pPr>
        <w:pStyle w:val="Heading2"/>
      </w:pPr>
      <w:r>
        <w:t xml:space="preserve">Market Intelligence: Statistician-Driven Insights for Medellín</w:t>
      </w:r>
    </w:p>
    <w:p>
      <w:pPr>
        <w:pStyle w:val="FirstParagraph"/>
      </w:pPr>
      <w:r>
        <w:t xml:space="preserve">Colombia Medellín presents unique market dynamics requiring specialized statistical approaches. Our Statistician conducted comprehensive spatial analysis of sales data across the city's 16 communes, revealing:</w:t>
      </w:r>
    </w:p>
    <w:p>
      <w:pPr>
        <w:numPr>
          <w:ilvl w:val="0"/>
          <w:numId w:val="1002"/>
        </w:numPr>
        <w:pStyle w:val="Compact"/>
      </w:pPr>
      <w:r>
        <w:t xml:space="preserve">Barrios like El Poblado and Laureles consistently showed 24% higher purchase frequency than peripheral districts.</w:t>
      </w:r>
    </w:p>
    <w:p>
      <w:pPr>
        <w:numPr>
          <w:ilvl w:val="0"/>
          <w:numId w:val="1002"/>
        </w:numPr>
        <w:pStyle w:val="Compact"/>
      </w:pPr>
      <w:r>
        <w:t xml:space="preserve">A statistically significant correlation (r=0.78) existed between seasonal rainfall patterns and electronics demand in Medellín – prompting inventory adjustments that reduced stockouts by 39% during rainy season.</w:t>
      </w:r>
    </w:p>
    <w:p>
      <w:pPr>
        <w:numPr>
          <w:ilvl w:val="0"/>
          <w:numId w:val="1002"/>
        </w:numPr>
        <w:pStyle w:val="Compact"/>
      </w:pPr>
      <w:r>
        <w:t xml:space="preserve">Analysis of local economic indicators (GDP growth, unemployment rates) showed a 22-month lag effect on consumer spending patterns, enabling proactive sales planning for Medellín's commercial calendar.</w:t>
      </w:r>
    </w:p>
    <w:p>
      <w:pPr>
        <w:pStyle w:val="FirstParagraph"/>
      </w:pPr>
      <w:r>
        <w:t xml:space="preserve">These insights directly informed our territory allocation strategy in Colombia Medellín, resulting in 40% more effective field sales resource deployment.</w:t>
      </w:r>
    </w:p>
    <w:bookmarkEnd w:id="23"/>
    <w:bookmarkStart w:id="24" w:name="X20415a49921a56fa1b977245322bb44a4f00d9c"/>
    <w:p>
      <w:pPr>
        <w:pStyle w:val="Heading2"/>
      </w:pPr>
      <w:r>
        <w:t xml:space="preserve">Overcoming Challenges with Statistical Rigor</w:t>
      </w:r>
    </w:p>
    <w:p>
      <w:pPr>
        <w:pStyle w:val="FirstParagraph"/>
      </w:pPr>
      <w:r>
        <w:t xml:space="preserve">The Medellín market presented unique obstacles that required sophisticated statistical solutions:</w:t>
      </w:r>
    </w:p>
    <w:p>
      <w:pPr>
        <w:numPr>
          <w:ilvl w:val="0"/>
          <w:numId w:val="1003"/>
        </w:numPr>
        <w:pStyle w:val="Compact"/>
      </w:pPr>
      <w:r>
        <w:rPr>
          <w:bCs/>
          <w:b/>
        </w:rPr>
        <w:t xml:space="preserve">Fragmented Data Sources:</w:t>
      </w:r>
      <w:r>
        <w:t xml:space="preserve"> </w:t>
      </w:r>
      <w:r>
        <w:t xml:space="preserve">Initial customer data was siloed across 8 legacy systems. The Statistician designed an ETL pipeline with probabilistic matching algorithms, increasing data accuracy by 67% and enabling unified customer views.</w:t>
      </w:r>
    </w:p>
    <w:p>
      <w:pPr>
        <w:numPr>
          <w:ilvl w:val="0"/>
          <w:numId w:val="1003"/>
        </w:numPr>
        <w:pStyle w:val="Compact"/>
      </w:pPr>
      <w:r>
        <w:rPr>
          <w:bCs/>
          <w:b/>
        </w:rPr>
        <w:t xml:space="preserve">Economic Volatility:</w:t>
      </w:r>
      <w:r>
        <w:t xml:space="preserve"> </w:t>
      </w:r>
      <w:r>
        <w:t xml:space="preserve">During Colombia's Q3 2023 inflation spike (15.5%), the Statistician's time-series forecasting model accurately predicted a 12.4% demand dip in non-essential categories, allowing us to pivot to essential product bundles that maintained revenue streams.</w:t>
      </w:r>
    </w:p>
    <w:p>
      <w:pPr>
        <w:numPr>
          <w:ilvl w:val="0"/>
          <w:numId w:val="1003"/>
        </w:numPr>
        <w:pStyle w:val="Compact"/>
      </w:pPr>
      <w:r>
        <w:rPr>
          <w:bCs/>
          <w:b/>
        </w:rPr>
        <w:t xml:space="preserve">Cultural Nuances:</w:t>
      </w:r>
      <w:r>
        <w:t xml:space="preserve"> </w:t>
      </w:r>
      <w:r>
        <w:t xml:space="preserve">Statistical analysis of social media sentiment and local events revealed that traditional sales campaigns failed during Medellín's "Feria de las Flores" festival. The Statistician recommended postponing promotions, resulting in a 28% higher conversion rate when campaigns resumed post-festival.</w:t>
      </w:r>
    </w:p>
    <w:bookmarkEnd w:id="24"/>
    <w:bookmarkStart w:id="25" w:name="X76d8b588fef969ce5186431a60b255a93ed144b"/>
    <w:p>
      <w:pPr>
        <w:pStyle w:val="Heading2"/>
      </w:pPr>
      <w:r>
        <w:t xml:space="preserve">Future Outlook: Statistical Growth Projections for Colombia Medellín</w:t>
      </w:r>
    </w:p>
    <w:p>
      <w:pPr>
        <w:pStyle w:val="FirstParagraph"/>
      </w:pPr>
      <w:r>
        <w:t xml:space="preserve">Based on predictive modeling by our Statistician, the Colombia Medellín market is positioned for sustained growth. The forecasted trajectory indicates:</w:t>
      </w:r>
    </w:p>
    <w:p>
      <w:pPr>
        <w:numPr>
          <w:ilvl w:val="0"/>
          <w:numId w:val="1004"/>
        </w:numPr>
        <w:pStyle w:val="Compact"/>
      </w:pPr>
      <w:r>
        <w:rPr>
          <w:bCs/>
          <w:b/>
        </w:rPr>
        <w:t xml:space="preserve">Revenue Expansion:</w:t>
      </w:r>
      <w:r>
        <w:t xml:space="preserve"> </w:t>
      </w:r>
      <w:r>
        <w:t xml:space="preserve">$815K in 2024 (+16.5% YoY) driven by statistical identification of new verticals (e.g., Medellín's growing sustainable manufacturing sector).</w:t>
      </w:r>
    </w:p>
    <w:p>
      <w:pPr>
        <w:numPr>
          <w:ilvl w:val="0"/>
          <w:numId w:val="1004"/>
        </w:numPr>
        <w:pStyle w:val="Compact"/>
      </w:pPr>
      <w:r>
        <w:rPr>
          <w:bCs/>
          <w:b/>
        </w:rPr>
        <w:t xml:space="preserve">Operational Efficiency:</w:t>
      </w:r>
      <w:r>
        <w:t xml:space="preserve"> </w:t>
      </w:r>
      <w:r>
        <w:t xml:space="preserve">Implementation of AI-powered sales forecasting will reduce planning cycles from 4 weeks to 72 hours, enhancing responsiveness to Colombia Medellín market shifts.</w:t>
      </w:r>
    </w:p>
    <w:p>
      <w:pPr>
        <w:numPr>
          <w:ilvl w:val="0"/>
          <w:numId w:val="1004"/>
        </w:numPr>
        <w:pStyle w:val="Compact"/>
      </w:pPr>
      <w:r>
        <w:rPr>
          <w:bCs/>
          <w:b/>
        </w:rPr>
        <w:t xml:space="preserve">Market Penetration:</w:t>
      </w:r>
      <w:r>
        <w:t xml:space="preserve"> </w:t>
      </w:r>
      <w:r>
        <w:t xml:space="preserve">Statistical customer lifetime value (CLV) analysis targets a 35% expansion into underserved Medellín neighborhoods like El Cerrito and San Javier by Q2 2024.</w:t>
      </w:r>
    </w:p>
    <w:p>
      <w:pPr>
        <w:pStyle w:val="FirstParagraph"/>
      </w:pPr>
      <w:r>
        <w:t xml:space="preserve">The Statistician's continuous market analysis will remain central to our Colombia Medellín strategy, with quarterly model retraining to adapt to the city's evolving economic landscape. As Medellín solidifies its position as Colombia's innovation hub, data-driven decision-making will be non-negotiable for maintaining competitive advantage.</w:t>
      </w:r>
    </w:p>
    <w:bookmarkEnd w:id="25"/>
    <w:bookmarkStart w:id="26" w:name="Xec2f803efd8d8b6883a0d855235dbd8adb87ed4"/>
    <w:p>
      <w:pPr>
        <w:pStyle w:val="Heading2"/>
      </w:pPr>
      <w:r>
        <w:t xml:space="preserve">Conclusion: The Statistician as a Strategic Growth Engine</w:t>
      </w:r>
    </w:p>
    <w:p>
      <w:pPr>
        <w:pStyle w:val="FirstParagraph"/>
      </w:pPr>
      <w:r>
        <w:t xml:space="preserve">This Sales Report unequivocally demonstrates that the Statistician role is not merely analytical support but the cornerstone of our commercial success in Colombia Medellín. From transforming raw data into revenue-generating insights to navigating complex market dynamics through rigorous statistical methodology, our Statistician has proven indispensable. The 37% revenue growth in Medellín directly correlates with statistical interventions – a metric that underscores why investing in this specialized expertise is non-negotiable for market leadership.</w:t>
      </w:r>
    </w:p>
    <w:p>
      <w:pPr>
        <w:pStyle w:val="BodyText"/>
      </w:pPr>
      <w:r>
        <w:t xml:space="preserve">As we scale operations across Colombia, the Medellín case study serves as our blueprint. We will institutionalize statistical excellence across all Colombian markets, ensuring every commercial decision leverages data integrity and predictive precision. The future of sales in Colombia Medellín is not just about selling products – it's about selling with statistical certainty. Our Statistician has made that possible.</w:t>
      </w:r>
    </w:p>
    <w:p>
      <w:pPr>
        <w:pStyle w:val="BodyText"/>
      </w:pPr>
      <w:r>
        <w:rPr>
          <w:bCs/>
          <w:b/>
        </w:rPr>
        <w:t xml:space="preserve">Prepared by:</w:t>
      </w:r>
      <w:r>
        <w:t xml:space="preserve"> </w:t>
      </w:r>
      <w:r>
        <w:t xml:space="preserve">Global Sales Analytics Division</w:t>
      </w:r>
      <w:r>
        <w:br/>
      </w:r>
      <w:r>
        <w:rPr>
          <w:bCs/>
          <w:b/>
        </w:rPr>
        <w:t xml:space="preserve">Date:</w:t>
      </w:r>
      <w:r>
        <w:t xml:space="preserve"> </w:t>
      </w:r>
      <w:r>
        <w:t xml:space="preserve">October 26, 2023</w:t>
      </w:r>
      <w:r>
        <w:br/>
      </w:r>
      <w:r>
        <w:rPr>
          <w:bCs/>
          <w:b/>
        </w:rPr>
        <w:t xml:space="preserve">Market Focus:</w:t>
      </w:r>
      <w:r>
        <w:t xml:space="preserve"> </w:t>
      </w:r>
      <w:r>
        <w:t xml:space="preserve">Colombia Medellín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Colombia Medellín</dc:title>
  <dc:creator/>
  <dc:language>en</dc:language>
  <cp:keywords/>
  <dcterms:created xsi:type="dcterms:W3CDTF">2026-07-21T08:46:43Z</dcterms:created>
  <dcterms:modified xsi:type="dcterms:W3CDTF">2026-07-21T08:46:43Z</dcterms:modified>
</cp:coreProperties>
</file>

<file path=docProps/custom.xml><?xml version="1.0" encoding="utf-8"?>
<Properties xmlns="http://schemas.openxmlformats.org/officeDocument/2006/custom-properties" xmlns:vt="http://schemas.openxmlformats.org/officeDocument/2006/docPropsVTypes"/>
</file>