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Egypt</w:t>
      </w:r>
      <w:r>
        <w:t xml:space="preserve"> </w:t>
      </w:r>
      <w:r>
        <w:t xml:space="preserve">Alexandria</w:t>
      </w:r>
      <w:r>
        <w:t xml:space="preserve"> </w:t>
      </w:r>
      <w:r>
        <w:t xml:space="preserve">Sales</w:t>
      </w:r>
      <w:r>
        <w:t xml:space="preserve"> </w:t>
      </w:r>
      <w:r>
        <w:t xml:space="preserve">Report:</w:t>
      </w:r>
      <w:r>
        <w:t xml:space="preserve"> </w:t>
      </w:r>
      <w:r>
        <w:t xml:space="preserve">Statistical</w:t>
      </w:r>
      <w:r>
        <w:t xml:space="preserve"> </w:t>
      </w:r>
      <w:r>
        <w:t xml:space="preserve">Analysis</w:t>
      </w:r>
      <w:r>
        <w:t xml:space="preserve"> </w:t>
      </w:r>
      <w:r>
        <w:t xml:space="preserve">&amp;</w:t>
      </w:r>
      <w:r>
        <w:t xml:space="preserve"> </w:t>
      </w:r>
      <w:r>
        <w:t xml:space="preserve">Strategic</w:t>
      </w:r>
      <w:r>
        <w:t xml:space="preserve"> </w:t>
      </w:r>
      <w:r>
        <w:t xml:space="preserve">Insights</w:t>
      </w:r>
    </w:p>
    <w:bookmarkStart w:id="27" w:name="X4b3ab089e241655a21d1198697ac728f4643be2"/>
    <w:p>
      <w:pPr>
        <w:pStyle w:val="Heading1"/>
      </w:pPr>
      <w:r>
        <w:t xml:space="preserve">Comprehensive Sales Performance Report: Statistical Analysis for Egypt Alexandria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Senior Management &amp; Strategic Planning Committee</w:t>
      </w:r>
      <w:r>
        <w:br/>
      </w:r>
      <w:r>
        <w:rPr>
          <w:bCs/>
          <w:b/>
        </w:rPr>
        <w:t xml:space="preserve">Prepared By:</w:t>
      </w:r>
      <w:r>
        <w:t xml:space="preserve"> </w:t>
      </w:r>
      <w:r>
        <w:t xml:space="preserve">Data Analytics Department, Egypt Alexandria Regional Office</w:t>
      </w:r>
    </w:p>
    <w:bookmarkStart w:id="20" w:name="i.-executive-summary"/>
    <w:p>
      <w:pPr>
        <w:pStyle w:val="Heading2"/>
      </w:pPr>
      <w:r>
        <w:t xml:space="preserve">I. Executive Summary</w:t>
      </w:r>
    </w:p>
    <w:p>
      <w:pPr>
        <w:pStyle w:val="FirstParagraph"/>
      </w:pPr>
      <w:r>
        <w:t xml:space="preserve">This Sales Report presents a comprehensive analysis of our sales performance in Egypt Alexandria during Q3 2023, with critical insights generated by our dedicated Statistician. The data reveals a 18.7% year-over-year growth in the Alexandria market, directly attributable to data-driven strategic decisions implemented following rigorous statistical analysis. Our Statistician's predictive modeling and segmentation work have positioned us as the market leader in the North African region, particularly within Egypt Alexandria's dynamic commercial landscape.</w:t>
      </w:r>
    </w:p>
    <w:bookmarkEnd w:id="20"/>
    <w:bookmarkStart w:id="21" w:name="X85aa1139c8736ae05a0fca54f2228e995af90eb"/>
    <w:p>
      <w:pPr>
        <w:pStyle w:val="Heading2"/>
      </w:pPr>
      <w:r>
        <w:t xml:space="preserve">II. Market Context: Egypt Alexandria Economic Landscape</w:t>
      </w:r>
    </w:p>
    <w:p>
      <w:pPr>
        <w:pStyle w:val="FirstParagraph"/>
      </w:pPr>
      <w:r>
        <w:t xml:space="preserve">Egypt Alexandria maintains its status as a premier economic hub outside Cairo, contributing 14% to national GDP with strong growth in tourism, pharmaceuticals, and manufacturing sectors. As the second-largest city in Egypt with 5 million residents, Alexandria presents unique market opportunities and challenges that demand sophisticated statistical approaches. The Egyptian government's "Egypt Vision 2030" initiative has intensified competition for data-driven enterprises operating across Alexandria's diverse districts – from Montaza to Hadra to Ras El Tin.</w:t>
      </w:r>
    </w:p>
    <w:p>
      <w:pPr>
        <w:pStyle w:val="BodyText"/>
      </w:pPr>
      <w:r>
        <w:t xml:space="preserve">Our Statistician conducted a baseline analysis of Alexandria's market structure, identifying five key customer segments with distinct purchasing behaviors. This segmentation model (validated through chi-square testing) became the foundation for our targeted sales strategy, directly contributing to a 22% increase in conversion rates among high-value clients.</w:t>
      </w:r>
    </w:p>
    <w:bookmarkEnd w:id="21"/>
    <w:bookmarkStart w:id="22" w:name="Xaf69644cccc9870a93375914ba73e4d45d4dddc"/>
    <w:p>
      <w:pPr>
        <w:pStyle w:val="Heading2"/>
      </w:pPr>
      <w:r>
        <w:t xml:space="preserve">III. Sales Performance Metrics: Statistical Insights</w:t>
      </w:r>
    </w:p>
    <w:p>
      <w:pPr>
        <w:pStyle w:val="FirstParagraph"/>
      </w:pPr>
      <w:r>
        <w:t xml:space="preserve">The following metrics were analyzed by our Statistician using advanced regression models and time-series forecasting:</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Metric</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YoY Change</w:t>
            </w:r>
          </w:p>
        </w:tc>
      </w:tr>
      <w:tr>
        <w:tc>
          <w:tcPr/>
          <w:p>
            <w:pPr>
              <w:pStyle w:val="Compact"/>
              <w:jc w:val="left"/>
            </w:pPr>
            <w:r>
              <w:t xml:space="preserve">Total Sales Revenue (EGP)</w:t>
            </w:r>
          </w:p>
        </w:tc>
        <w:tc>
          <w:tcPr/>
          <w:p>
            <w:pPr>
              <w:pStyle w:val="Compact"/>
              <w:jc w:val="left"/>
            </w:pPr>
            <w:r>
              <w:t xml:space="preserve">14.8M</w:t>
            </w:r>
          </w:p>
        </w:tc>
        <w:tc>
          <w:tcPr/>
          <w:p>
            <w:pPr>
              <w:pStyle w:val="Compact"/>
              <w:jc w:val="left"/>
            </w:pPr>
            <w:r>
              <w:t xml:space="preserve">12.5M</w:t>
            </w:r>
          </w:p>
        </w:tc>
        <w:tc>
          <w:tcPr/>
          <w:p>
            <w:pPr>
              <w:pStyle w:val="Compact"/>
              <w:jc w:val="left"/>
            </w:pPr>
            <w:r>
              <w:t xml:space="preserve">+18.4%</w:t>
            </w:r>
          </w:p>
        </w:tc>
      </w:tr>
      <w:tr>
        <w:tc>
          <w:tcPr/>
          <w:p>
            <w:pPr>
              <w:pStyle w:val="Compact"/>
              <w:jc w:val="left"/>
            </w:pPr>
            <w:r>
              <w:t xml:space="preserve">Alexandria Market Share</w:t>
            </w:r>
          </w:p>
        </w:tc>
        <w:tc>
          <w:tcPr/>
          <w:p>
            <w:pPr>
              <w:pStyle w:val="Compact"/>
              <w:jc w:val="left"/>
            </w:pPr>
            <w:r>
              <w:t xml:space="preserve">32.7%</w:t>
            </w:r>
          </w:p>
        </w:tc>
        <w:tc>
          <w:tcPr/>
          <w:p>
            <w:pPr>
              <w:pStyle w:val="Compact"/>
              <w:jc w:val="left"/>
            </w:pPr>
            <w:r>
              <w:t xml:space="preserve">29.1%</w:t>
            </w:r>
          </w:p>
        </w:tc>
        <w:tc>
          <w:tcPr/>
          <w:p>
            <w:pPr>
              <w:pStyle w:val="Compact"/>
              <w:jc w:val="left"/>
            </w:pPr>
            <w:r>
              <w:t xml:space="preserve">+3.6 pts</w:t>
            </w:r>
          </w:p>
        </w:tc>
      </w:tr>
      <w:tr>
        <w:tc>
          <w:tcPr/>
          <w:p>
            <w:pPr>
              <w:pStyle w:val="Compact"/>
              <w:jc w:val="left"/>
            </w:pPr>
            <w:r>
              <w:t xml:space="preserve">Customer Acquisition Cost (CAC)</w:t>
            </w:r>
          </w:p>
        </w:tc>
        <w:tc>
          <w:tcPr/>
          <w:p>
            <w:pPr>
              <w:pStyle w:val="Compact"/>
              <w:jc w:val="left"/>
            </w:pPr>
            <w:r>
              <w:t xml:space="preserve">EGP 1,850</w:t>
            </w:r>
          </w:p>
        </w:tc>
        <w:tc>
          <w:tcPr/>
          <w:p>
            <w:pPr>
              <w:pStyle w:val="Compact"/>
              <w:jc w:val="left"/>
            </w:pPr>
            <w:r>
              <w:t xml:space="preserve">EGP 2,470</w:t>
            </w:r>
          </w:p>
        </w:tc>
        <w:tc>
          <w:tcPr/>
          <w:p>
            <w:pPr>
              <w:pStyle w:val="Compact"/>
              <w:jc w:val="left"/>
            </w:pPr>
            <w:r>
              <w:t xml:space="preserve">-25.1%</w:t>
            </w:r>
          </w:p>
        </w:tc>
      </w:tr>
      <w:tr>
        <w:tc>
          <w:tcPr/>
          <w:p>
            <w:pPr>
              <w:pStyle w:val="Compact"/>
              <w:jc w:val="left"/>
            </w:pPr>
            <w:r>
              <w:t xml:space="preserve">Net Promoter Score (NPS)</w:t>
            </w:r>
          </w:p>
        </w:tc>
        <w:tc>
          <w:tcPr/>
          <w:p>
            <w:pPr>
              <w:pStyle w:val="Compact"/>
              <w:jc w:val="left"/>
            </w:pPr>
            <w:r>
              <w:t xml:space="preserve">68</w:t>
            </w:r>
          </w:p>
        </w:tc>
        <w:tc>
          <w:tcPr/>
          <w:p>
            <w:pPr>
              <w:pStyle w:val="Compact"/>
              <w:jc w:val="left"/>
            </w:pPr>
            <w:r>
              <w:t xml:space="preserve">61</w:t>
            </w:r>
          </w:p>
        </w:tc>
        <w:tc>
          <w:tcPr/>
          <w:p>
            <w:pPr>
              <w:pStyle w:val="Compact"/>
              <w:jc w:val="left"/>
            </w:pPr>
            <w:r>
              <w:t xml:space="preserve">+7 points</w:t>
            </w:r>
          </w:p>
        </w:tc>
      </w:tr>
    </w:tbl>
    <w:p>
      <w:pPr>
        <w:pStyle w:val="BodyText"/>
      </w:pPr>
      <w:r>
        <w:rPr>
          <w:bCs/>
          <w:b/>
        </w:rPr>
        <w:t xml:space="preserve">The Statistician's Critical Contribution:</w:t>
      </w:r>
      <w:r>
        <w:t xml:space="preserve"> </w:t>
      </w:r>
      <w:r>
        <w:t xml:space="preserve">By applying cluster analysis to 12 months of sales data, our Statistician identified that 73% of Alexandria's high-value clients (those purchasing above EGP 50,000 annually) were concentrated in the Marina and Al-Montazah districts. This insight enabled us to redirect 42% of our regional marketing budget to these high-potential zones, resulting in a 31% increase in sales pipeline velocity.</w:t>
      </w:r>
    </w:p>
    <w:bookmarkEnd w:id="22"/>
    <w:bookmarkStart w:id="23" w:name="Xe6bbf1d3465c7be1fd9fd8869e29e0aea297f0f"/>
    <w:p>
      <w:pPr>
        <w:pStyle w:val="Heading2"/>
      </w:pPr>
      <w:r>
        <w:t xml:space="preserve">IV. Statistical Analysis: The Statistician's Strategic Impact</w:t>
      </w:r>
    </w:p>
    <w:p>
      <w:pPr>
        <w:pStyle w:val="FirstParagraph"/>
      </w:pPr>
      <w:r>
        <w:t xml:space="preserve">The role of our Egypt Alexandria-based Statistician extends far beyond data processing. This position has transformed how we approach sales strategy through:</w:t>
      </w:r>
    </w:p>
    <w:p>
      <w:pPr>
        <w:numPr>
          <w:ilvl w:val="0"/>
          <w:numId w:val="1001"/>
        </w:numPr>
        <w:pStyle w:val="Compact"/>
      </w:pPr>
      <w:r>
        <w:rPr>
          <w:bCs/>
          <w:b/>
        </w:rPr>
        <w:t xml:space="preserve">Predictive Sales Forecasting:</w:t>
      </w:r>
      <w:r>
        <w:t xml:space="preserve"> </w:t>
      </w:r>
      <w:r>
        <w:t xml:space="preserve">Developed a machine learning model (using ARIMA and LSTM neural networks) predicting Alexandria's quarterly demand with 92% accuracy, enabling optimal inventory allocation.</w:t>
      </w:r>
    </w:p>
    <w:p>
      <w:pPr>
        <w:numPr>
          <w:ilvl w:val="0"/>
          <w:numId w:val="1001"/>
        </w:numPr>
        <w:pStyle w:val="Compact"/>
      </w:pPr>
      <w:r>
        <w:rPr>
          <w:bCs/>
          <w:b/>
        </w:rPr>
        <w:t xml:space="preserve">Churn Analysis:</w:t>
      </w:r>
      <w:r>
        <w:t xml:space="preserve"> </w:t>
      </w:r>
      <w:r>
        <w:t xml:space="preserve">Identified that 68% of customer attrition in Alexandria occurred within the first 45 days. The Statistician designed a retention program targeting this critical window, reducing churn by 27%.</w:t>
      </w:r>
    </w:p>
    <w:p>
      <w:pPr>
        <w:numPr>
          <w:ilvl w:val="0"/>
          <w:numId w:val="1001"/>
        </w:numPr>
        <w:pStyle w:val="Compact"/>
      </w:pPr>
      <w:r>
        <w:rPr>
          <w:bCs/>
          <w:b/>
        </w:rPr>
        <w:t xml:space="preserve">Pricing Optimization:</w:t>
      </w:r>
      <w:r>
        <w:t xml:space="preserve"> </w:t>
      </w:r>
      <w:r>
        <w:t xml:space="preserve">Conducted price elasticity analysis showing a 14.3% demand increase when offering bundled solutions – directly implemented across Alexandria's sales teams with immediate revenue impact.</w:t>
      </w:r>
    </w:p>
    <w:p>
      <w:pPr>
        <w:pStyle w:val="FirstParagraph"/>
      </w:pPr>
      <w:r>
        <w:t xml:space="preserve">Notably, our Statistician discovered a statistically significant correlation (r=0.87, p&lt;0.01) between local tourism seasonality and product demand in Alexandria's coastal districts. This insight led to the creation of "Tourist Season Sales Packages," generating an additional EGP 2.3M in Q3 revenue.</w:t>
      </w:r>
    </w:p>
    <w:bookmarkEnd w:id="23"/>
    <w:bookmarkStart w:id="24" w:name="X920cfe5a473d6848acc68d22b3b6992ecf59db6"/>
    <w:p>
      <w:pPr>
        <w:pStyle w:val="Heading2"/>
      </w:pPr>
      <w:r>
        <w:t xml:space="preserve">V. Challenges Specific to Egypt Alexandria</w:t>
      </w:r>
    </w:p>
    <w:p>
      <w:pPr>
        <w:pStyle w:val="FirstParagraph"/>
      </w:pPr>
      <w:r>
        <w:t xml:space="preserve">Operating within Egypt Alexandria presents unique statistical challenges that our Statistician has successfully navigated:</w:t>
      </w:r>
    </w:p>
    <w:p>
      <w:pPr>
        <w:numPr>
          <w:ilvl w:val="0"/>
          <w:numId w:val="1002"/>
        </w:numPr>
        <w:pStyle w:val="Compact"/>
      </w:pPr>
      <w:r>
        <w:rPr>
          <w:bCs/>
          <w:b/>
        </w:rPr>
        <w:t xml:space="preserve">Data Fragmentation:</w:t>
      </w:r>
      <w:r>
        <w:t xml:space="preserve"> </w:t>
      </w:r>
      <w:r>
        <w:t xml:space="preserve">Multiple data sources across Alexandria's 18 commercial zones required harmonization. The Statistician implemented a unified data warehouse, reducing processing time by 63%.</w:t>
      </w:r>
    </w:p>
    <w:p>
      <w:pPr>
        <w:numPr>
          <w:ilvl w:val="0"/>
          <w:numId w:val="1002"/>
        </w:numPr>
        <w:pStyle w:val="Compact"/>
      </w:pPr>
      <w:r>
        <w:rPr>
          <w:bCs/>
          <w:b/>
        </w:rPr>
        <w:t xml:space="preserve">Cultural Nuances:</w:t>
      </w:r>
      <w:r>
        <w:t xml:space="preserve"> </w:t>
      </w:r>
      <w:r>
        <w:t xml:space="preserve">Developed Arabic-language statistical models accounting for regional purchasing behaviors (e.g., higher demand for bulk orders during Eid al-Adha), improving forecast accuracy by 19%.</w:t>
      </w:r>
    </w:p>
    <w:p>
      <w:pPr>
        <w:numPr>
          <w:ilvl w:val="0"/>
          <w:numId w:val="1002"/>
        </w:numPr>
        <w:pStyle w:val="Compact"/>
      </w:pPr>
      <w:r>
        <w:rPr>
          <w:bCs/>
          <w:b/>
        </w:rPr>
        <w:t xml:space="preserve">Infrastructure Constraints:</w:t>
      </w:r>
      <w:r>
        <w:t xml:space="preserve"> </w:t>
      </w:r>
      <w:r>
        <w:t xml:space="preserve">Designed offline data collection protocols for remote Alexandria districts with limited connectivity, ensuring continuous sales tracking across all regions.</w:t>
      </w:r>
    </w:p>
    <w:bookmarkEnd w:id="24"/>
    <w:bookmarkStart w:id="25" w:name="Xa77b42ba9b75cab9a65994bde49d5fe47897d0c"/>
    <w:p>
      <w:pPr>
        <w:pStyle w:val="Heading2"/>
      </w:pPr>
      <w:r>
        <w:t xml:space="preserve">VI. Strategic Recommendations for Egypt Alexandria Market</w:t>
      </w:r>
    </w:p>
    <w:p>
      <w:pPr>
        <w:pStyle w:val="FirstParagraph"/>
      </w:pPr>
      <w:r>
        <w:t xml:space="preserve">Based on the Statistician's analysis, we propose the following market-specific actions:</w:t>
      </w:r>
    </w:p>
    <w:p>
      <w:pPr>
        <w:numPr>
          <w:ilvl w:val="0"/>
          <w:numId w:val="1003"/>
        </w:numPr>
        <w:pStyle w:val="Compact"/>
      </w:pPr>
      <w:r>
        <w:rPr>
          <w:bCs/>
          <w:b/>
        </w:rPr>
        <w:t xml:space="preserve">Expand Statistical Capacity in Alexandria:</w:t>
      </w:r>
      <w:r>
        <w:t xml:space="preserve"> </w:t>
      </w:r>
      <w:r>
        <w:t xml:space="preserve">Hire two additional statisticians specializing in regional market dynamics to support our growing Alexandria operations. This investment is projected to yield 28% ROI within 18 months.</w:t>
      </w:r>
    </w:p>
    <w:p>
      <w:pPr>
        <w:numPr>
          <w:ilvl w:val="0"/>
          <w:numId w:val="1003"/>
        </w:numPr>
        <w:pStyle w:val="Compact"/>
      </w:pPr>
      <w:r>
        <w:rPr>
          <w:bCs/>
          <w:b/>
        </w:rPr>
        <w:t xml:space="preserve">Launch Alexandria Market Intelligence Unit:</w:t>
      </w:r>
      <w:r>
        <w:t xml:space="preserve"> </w:t>
      </w:r>
      <w:r>
        <w:t xml:space="preserve">Establish a dedicated team using real-time sales data from Egypt's largest commercial centers (e.g., Al-Max, Al-Hadra Mall) to enable dynamic pricing adjustments.</w:t>
      </w:r>
    </w:p>
    <w:p>
      <w:pPr>
        <w:numPr>
          <w:ilvl w:val="0"/>
          <w:numId w:val="1003"/>
        </w:numPr>
        <w:pStyle w:val="Compact"/>
      </w:pPr>
      <w:r>
        <w:rPr>
          <w:bCs/>
          <w:b/>
        </w:rPr>
        <w:t xml:space="preserve">Leverage Government Initiatives:</w:t>
      </w:r>
      <w:r>
        <w:t xml:space="preserve"> </w:t>
      </w:r>
      <w:r>
        <w:t xml:space="preserve">Align sales strategy with Egypt Vision 2030's digital transformation goals through statistical partnerships with Alexandria Governorate for economic data sharing.</w:t>
      </w:r>
    </w:p>
    <w:bookmarkEnd w:id="25"/>
    <w:bookmarkStart w:id="26" w:name="X8a2989aeceec8d6c8ad32530bd262c8a41af87e"/>
    <w:p>
      <w:pPr>
        <w:pStyle w:val="Heading2"/>
      </w:pPr>
      <w:r>
        <w:t xml:space="preserve">VII. Conclusion: The Statistician as Sales Catalyst</w:t>
      </w:r>
    </w:p>
    <w:p>
      <w:pPr>
        <w:pStyle w:val="FirstParagraph"/>
      </w:pPr>
      <w:r>
        <w:t xml:space="preserve">This Sales Report unequivocally demonstrates how strategic statistical analysis drives commercial success in Egypt Alexandria. Our Statistician's work has directly generated EGP 3.8M in incremental revenue through data-backed decisions, while simultaneously improving customer satisfaction and market share. The statistical methods applied—validated through Egyptian market-specific datasets—represent a replicable model for enterprise growth across North Africa.</w:t>
      </w:r>
    </w:p>
    <w:p>
      <w:pPr>
        <w:pStyle w:val="BodyText"/>
      </w:pPr>
      <w:r>
        <w:t xml:space="preserve">As Egypt Alexandria continues its transformation into a global investment destination, the role of the Statistician evolves from analytical support to strategic business partner. We recommend embedding statistical thinking at every sales decision point in our Alexandria operations, with quarterly Sales Reports incorporating predictive analytics as standard practice. This approach positions us not just to compete in Egypt Alexandria's market, but to lead its data-driven commercial evolution.</w:t>
      </w:r>
    </w:p>
    <w:p>
      <w:pPr>
        <w:pStyle w:val="BodyText"/>
      </w:pPr>
      <w:r>
        <w:rPr>
          <w:bCs/>
          <w:b/>
        </w:rPr>
        <w:t xml:space="preserve">Appendix:</w:t>
      </w:r>
      <w:r>
        <w:t xml:space="preserve"> </w:t>
      </w:r>
      <w:r>
        <w:t xml:space="preserve">Full statistical models (regression analyses, segmentation reports) available upon request from the Egypt Alexandria Data Analytics Department.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Egypt Alexandria Sales Report: Statistical Analysis &amp; Strategic Insights</dc:title>
  <dc:creator/>
  <dc:language>en</dc:language>
  <cp:keywords/>
  <dcterms:created xsi:type="dcterms:W3CDTF">2025-12-11T07:35:39Z</dcterms:created>
  <dcterms:modified xsi:type="dcterms:W3CDTF">2025-12-11T07:35:39Z</dcterms:modified>
</cp:coreProperties>
</file>

<file path=docProps/custom.xml><?xml version="1.0" encoding="utf-8"?>
<Properties xmlns="http://schemas.openxmlformats.org/officeDocument/2006/custom-properties" xmlns:vt="http://schemas.openxmlformats.org/officeDocument/2006/docPropsVTypes"/>
</file>