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Statistical</w:t>
      </w:r>
      <w:r>
        <w:t xml:space="preserve"> </w:t>
      </w:r>
      <w:r>
        <w:t xml:space="preserve">Services</w:t>
      </w:r>
      <w:r>
        <w:t xml:space="preserve"> </w:t>
      </w:r>
      <w:r>
        <w:t xml:space="preserve">Performance</w:t>
      </w:r>
      <w:r>
        <w:t xml:space="preserve"> </w:t>
      </w:r>
      <w:r>
        <w:t xml:space="preserve">in</w:t>
      </w:r>
      <w:r>
        <w:t xml:space="preserve"> </w:t>
      </w:r>
      <w:r>
        <w:t xml:space="preserve">Tehran,</w:t>
      </w:r>
      <w:r>
        <w:t xml:space="preserve"> </w:t>
      </w:r>
      <w:r>
        <w:t xml:space="preserve">Iran</w:t>
      </w:r>
    </w:p>
    <w:bookmarkStart w:id="28" w:name="Xd09ad4607ef70a5b41644d450eb43ba182abc24"/>
    <w:p>
      <w:pPr>
        <w:pStyle w:val="Heading1"/>
      </w:pPr>
      <w:r>
        <w:t xml:space="preserve">ANNUAL SALES REPORT: STATISTICAL SERVICES PERFORMANCE IN TEHRAN, IRAN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Reporting Period:</w:t>
      </w:r>
      <w:r>
        <w:t xml:space="preserve"> </w:t>
      </w:r>
      <w:r>
        <w:t xml:space="preserve">January 1, 2023 – December 31, 2023</w:t>
      </w:r>
      <w:r>
        <w:br/>
      </w:r>
      <w:r>
        <w:rPr>
          <w:bCs/>
          <w:b/>
        </w:rPr>
        <w:t xml:space="preserve">Location:</w:t>
      </w:r>
      <w:r>
        <w:t xml:space="preserve"> </w:t>
      </w:r>
      <w:r>
        <w:t xml:space="preserve">Tehran, Islamic Republic of Iran</w:t>
      </w:r>
    </w:p>
    <w:bookmarkStart w:id="20" w:name="i.-executive-summary"/>
    <w:p>
      <w:pPr>
        <w:pStyle w:val="Heading2"/>
      </w:pPr>
      <w:r>
        <w:t xml:space="preserve">I. Executive Summary</w:t>
      </w:r>
    </w:p>
    <w:p>
      <w:pPr>
        <w:pStyle w:val="FirstParagraph"/>
      </w:pPr>
      <w:r>
        <w:t xml:space="preserve">This comprehensive Sales Report details the performance of statistical services across Tehran's commercial landscape during the fiscal year 2023. The report highlights a remarkable 37% year-over-year growth in demand for professional Statistical Services, positioning Iran Tehran as a critical growth corridor within the Middle East analytics market. With 142 new contracts secured and total revenue reaching USD $8.7 million, our Statistician-led service delivery teams have demonstrated exceptional market penetration across key sectors including pharmaceuticals, finance, and public infrastructure development. This success underscores Tehran's emergence as Iran's statistical services capital – a hub where data-driven decision-making is rapidly becoming indispensable for enterprise competitiveness.</w:t>
      </w:r>
    </w:p>
    <w:bookmarkEnd w:id="20"/>
    <w:bookmarkStart w:id="21" w:name="X5bad1e28dda9714428cafe8c423cefa84ccf7c9"/>
    <w:p>
      <w:pPr>
        <w:pStyle w:val="Heading2"/>
      </w:pPr>
      <w:r>
        <w:t xml:space="preserve">II. Market Context: The Iranian Statistical Services Landscape</w:t>
      </w:r>
    </w:p>
    <w:p>
      <w:pPr>
        <w:pStyle w:val="FirstParagraph"/>
      </w:pPr>
      <w:r>
        <w:t xml:space="preserve">Tehran has experienced unprecedented acceleration in statistical service adoption since 2021, driven by three pivotal factors:</w:t>
      </w:r>
    </w:p>
    <w:p>
      <w:pPr>
        <w:numPr>
          <w:ilvl w:val="0"/>
          <w:numId w:val="1001"/>
        </w:numPr>
        <w:pStyle w:val="Compact"/>
      </w:pPr>
      <w:r>
        <w:rPr>
          <w:bCs/>
          <w:b/>
        </w:rPr>
        <w:t xml:space="preserve">National Digital Transformation Initiatives:</w:t>
      </w:r>
      <w:r>
        <w:t xml:space="preserve"> </w:t>
      </w:r>
      <w:r>
        <w:t xml:space="preserve">The Iranian government's "Digital Iran 4.0" strategy mandates data-driven policymaking for all ministries, creating immediate demand for certified Statisticians in public sector contracts.</w:t>
      </w:r>
    </w:p>
    <w:p>
      <w:pPr>
        <w:numPr>
          <w:ilvl w:val="0"/>
          <w:numId w:val="1001"/>
        </w:numPr>
        <w:pStyle w:val="Compact"/>
      </w:pPr>
      <w:r>
        <w:rPr>
          <w:bCs/>
          <w:b/>
        </w:rPr>
        <w:t xml:space="preserve">Private Sector Modernization:</w:t>
      </w:r>
      <w:r>
        <w:t xml:space="preserve"> </w:t>
      </w:r>
      <w:r>
        <w:t xml:space="preserve">Tehran-based financial institutions (including Bank Melli Iran and Parsian Bank) now require statistical validation for 100% of investment portfolios – a market that grew by 52% in 2023 alone.</w:t>
      </w:r>
    </w:p>
    <w:p>
      <w:pPr>
        <w:numPr>
          <w:ilvl w:val="0"/>
          <w:numId w:val="1001"/>
        </w:numPr>
        <w:pStyle w:val="Compact"/>
      </w:pPr>
      <w:r>
        <w:rPr>
          <w:bCs/>
          <w:b/>
        </w:rPr>
        <w:t xml:space="preserve">Educational Infrastructure:</w:t>
      </w:r>
      <w:r>
        <w:t xml:space="preserve"> </w:t>
      </w:r>
      <w:r>
        <w:t xml:space="preserve">The University of Tehran's newly established Center for Advanced Data Science has graduated 87 certified Statisticians since January 2023, directly fueling our talent pipeline.</w:t>
      </w:r>
    </w:p>
    <w:bookmarkEnd w:id="21"/>
    <w:bookmarkStart w:id="23" w:name="X92eff4adc4b3f1b9997d7828137d823fe40963e"/>
    <w:p>
      <w:pPr>
        <w:pStyle w:val="Heading2"/>
      </w:pPr>
      <w:r>
        <w:t xml:space="preserve">III. Sales Performance Breakdown by Sector (Tehran Focus)</w:t>
      </w:r>
    </w:p>
    <w:p>
      <w:pPr>
        <w:pStyle w:val="FirstParagraph"/>
      </w:pPr>
      <w:r>
        <w:t xml:space="preserve">Sector</w:t>
      </w:r>
    </w:p>
    <w:p>
      <w:pPr>
        <w:pStyle w:val="BodyText"/>
      </w:pPr>
      <w:r>
        <w:t xml:space="preserve">Contract Volume (2023)</w:t>
      </w:r>
    </w:p>
    <w:p>
      <w:pPr>
        <w:pStyle w:val="BodyText"/>
      </w:pPr>
      <w:r>
        <w:t xml:space="preserve">Revenue Contribution</w:t>
      </w:r>
    </w:p>
    <w:p>
      <w:pPr>
        <w:pStyle w:val="BodyText"/>
      </w:pPr>
      <w:r>
        <w:t xml:space="preserve">YoY Growth</w:t>
      </w:r>
    </w:p>
    <w:p>
      <w:pPr>
        <w:pStyle w:val="BodyText"/>
      </w:pPr>
      <w:r>
        <w:t xml:space="preserve">Key Client Projects in Tehran</w:t>
      </w:r>
    </w:p>
    <w:p>
      <w:pPr>
        <w:pStyle w:val="BodyText"/>
      </w:pPr>
      <w:r>
        <w:t xml:space="preserve">Healthcare &amp; Pharma</w:t>
      </w:r>
    </w:p>
    <w:p>
      <w:pPr>
        <w:pStyle w:val="BodyText"/>
      </w:pPr>
      <w:r>
        <w:t xml:space="preserve">48 contracts</w:t>
      </w:r>
    </w:p>
    <w:p>
      <w:pPr>
        <w:pStyle w:val="BodyText"/>
      </w:pPr>
      <w:r>
        <w:t xml:space="preserve">$3.1M (35.6%)</w:t>
      </w:r>
    </w:p>
    <w:p>
      <w:pPr>
        <w:pStyle w:val="BodyText"/>
      </w:pPr>
      <w:r>
        <w:t xml:space="preserve">41%</w:t>
      </w:r>
    </w:p>
    <w:p>
      <w:pPr>
        <w:pStyle w:val="BodyText"/>
      </w:pPr>
      <w:r>
        <w:t xml:space="preserve">Royan Institute clinical trials analysis, Teimour Pharmaceutical market studies</w:t>
      </w:r>
    </w:p>
    <w:p>
      <w:pPr>
        <w:pStyle w:val="BodyText"/>
      </w:pPr>
      <w:r>
        <w:t xml:space="preserve">Banking &amp; Finance</w:t>
      </w:r>
    </w:p>
    <w:p>
      <w:pPr>
        <w:pStyle w:val="BodyText"/>
      </w:pPr>
      <w:r>
        <w:rPr>
          <w:bCs/>
          <w:b/>
        </w:rPr>
        <w:t xml:space="preserve">$2.8M (32.2%)</w:t>
      </w:r>
    </w:p>
    <w:p>
      <w:pPr>
        <w:pStyle w:val="BodyText"/>
      </w:pPr>
      <w:r>
        <w:t xml:space="preserve">Total Tehran Revenue</w:t>
      </w:r>
    </w:p>
    <w:p>
      <w:pPr>
        <w:pStyle w:val="BodyText"/>
      </w:pPr>
      <w:r>
        <w:t xml:space="preserve">142 contracts</w:t>
      </w:r>
    </w:p>
    <w:p>
      <w:pPr>
        <w:pStyle w:val="BodyText"/>
      </w:pPr>
      <w:r>
        <w:t xml:space="preserve">$8.7M</w:t>
      </w:r>
    </w:p>
    <w:p>
      <w:pPr>
        <w:pStyle w:val="BodyText"/>
      </w:pPr>
      <w:r>
        <w:t xml:space="preserve">37% YoY</w:t>
      </w:r>
    </w:p>
    <w:bookmarkStart w:id="22" w:name="X66a2e0e422b9a5df87c9c28d025f83f443ee7a6"/>
    <w:p>
      <w:pPr>
        <w:pStyle w:val="Heading3"/>
      </w:pPr>
      <w:r>
        <w:t xml:space="preserve">Key Success Story: Central Bank of Iran (CBI) Project</w:t>
      </w:r>
    </w:p>
    <w:p>
      <w:pPr>
        <w:pStyle w:val="FirstParagraph"/>
      </w:pPr>
      <w:r>
        <w:t xml:space="preserve">A landmark $1.4M contract secured in Q2 2023 represents Tehran's largest single Statistician service engagement to date. Our team deployed 15 certified Statisticians across CBI's economic forecasting division, developing predictive models for inflation monitoring that reduced forecast error rates by 33%. This project has since become the template for all government statistical engagements in Iran.</w:t>
      </w:r>
    </w:p>
    <w:bookmarkEnd w:id="22"/>
    <w:bookmarkEnd w:id="23"/>
    <w:bookmarkStart w:id="24" w:name="X4f0e763436fd53b7edc9db63438415881e4cf1f"/>
    <w:p>
      <w:pPr>
        <w:pStyle w:val="Heading2"/>
      </w:pPr>
      <w:r>
        <w:t xml:space="preserve">IV. The Statistician: Core Asset Driving Sales Growth</w:t>
      </w:r>
    </w:p>
    <w:p>
      <w:pPr>
        <w:pStyle w:val="FirstParagraph"/>
      </w:pPr>
      <w:r>
        <w:t xml:space="preserve">Our sales performance directly correlates with specialized Statistician capabilities. In Tehran, we've observed three critical trends:</w:t>
      </w:r>
    </w:p>
    <w:p>
      <w:pPr>
        <w:numPr>
          <w:ilvl w:val="0"/>
          <w:numId w:val="1002"/>
        </w:numPr>
        <w:pStyle w:val="Compact"/>
      </w:pPr>
      <w:r>
        <w:rPr>
          <w:bCs/>
          <w:b/>
        </w:rPr>
        <w:t xml:space="preserve">Advanced Analytics Specialization:</w:t>
      </w:r>
      <w:r>
        <w:t xml:space="preserve"> </w:t>
      </w:r>
      <w:r>
        <w:t xml:space="preserve">78% of new contracts now require machine learning integration – a capability our Tehran-based Statisticians developed through partnerships with Sharif University.</w:t>
      </w:r>
    </w:p>
    <w:p>
      <w:pPr>
        <w:numPr>
          <w:ilvl w:val="0"/>
          <w:numId w:val="1002"/>
        </w:numPr>
        <w:pStyle w:val="Compact"/>
      </w:pPr>
      <w:r>
        <w:rPr>
          <w:bCs/>
          <w:b/>
        </w:rPr>
        <w:t xml:space="preserve">Local Regulatory Expertise:</w:t>
      </w:r>
    </w:p>
    <w:p>
      <w:pPr>
        <w:numPr>
          <w:ilvl w:val="0"/>
          <w:numId w:val="1002"/>
        </w:numPr>
        <w:pStyle w:val="Compact"/>
      </w:pPr>
      <w:r>
        <w:rPr>
          <w:bCs/>
          <w:b/>
        </w:rPr>
        <w:t xml:space="preserve">Client Relationship Depth:</w:t>
      </w:r>
      <w:r>
        <w:t xml:space="preserve"> </w:t>
      </w:r>
      <w:r>
        <w:t xml:space="preserve">Statisticians embedded within client teams (e.g., at Iran Khodro) generated 5x higher retention rates than traditional project-based models.</w:t>
      </w:r>
    </w:p>
    <w:bookmarkEnd w:id="24"/>
    <w:bookmarkStart w:id="25" w:name="v.-challenges-in-the-tehran-market"/>
    <w:p>
      <w:pPr>
        <w:pStyle w:val="Heading2"/>
      </w:pPr>
      <w:r>
        <w:t xml:space="preserve">V. Challenges in the Tehran Market</w:t>
      </w:r>
    </w:p>
    <w:p>
      <w:pPr>
        <w:pStyle w:val="FirstParagraph"/>
      </w:pPr>
      <w:r>
        <w:t xml:space="preserve">Despite robust growth, we identified three operational challenges specific to Iran Tehran:</w:t>
      </w:r>
    </w:p>
    <w:p>
      <w:pPr>
        <w:numPr>
          <w:ilvl w:val="0"/>
          <w:numId w:val="1003"/>
        </w:numPr>
        <w:pStyle w:val="Compact"/>
      </w:pPr>
      <w:r>
        <w:rPr>
          <w:bCs/>
          <w:b/>
        </w:rPr>
        <w:t xml:space="preserve">Currency Volatility:</w:t>
      </w:r>
      <w:r>
        <w:t xml:space="preserve"> </w:t>
      </w:r>
      <w:r>
        <w:t xml:space="preserve">17% of contracts were denominated in USD, creating pricing complexity during Q3 2023's currency fluctuations. Mitigation: Implemented quarterly adjustment clauses in all new agreements.</w:t>
      </w:r>
    </w:p>
    <w:p>
      <w:pPr>
        <w:numPr>
          <w:ilvl w:val="0"/>
          <w:numId w:val="1003"/>
        </w:numPr>
        <w:pStyle w:val="Compact"/>
      </w:pPr>
      <w:r>
        <w:rPr>
          <w:bCs/>
          <w:b/>
        </w:rPr>
        <w:t xml:space="preserve">Talent Competition:</w:t>
      </w:r>
      <w:r>
        <w:t xml:space="preserve"> </w:t>
      </w:r>
      <w:r>
        <w:t xml:space="preserve">Tehran's top statistical talent faces offers from multinational firms (e.g., Accenture Iran), increasing recruitment costs by 29%. Countermeasure: Launched the "Tehran Statistician Fellowship" with University of Tehran, securing 45 new graduates.</w:t>
      </w:r>
    </w:p>
    <w:p>
      <w:pPr>
        <w:numPr>
          <w:ilvl w:val="0"/>
          <w:numId w:val="1003"/>
        </w:numPr>
        <w:pStyle w:val="Compact"/>
      </w:pPr>
      <w:r>
        <w:rPr>
          <w:bCs/>
          <w:b/>
        </w:rPr>
        <w:t xml:space="preserve">Regulatory Documentation:</w:t>
      </w:r>
      <w:r>
        <w:t xml:space="preserve"> </w:t>
      </w:r>
      <w:r>
        <w:t xml:space="preserve">Government procurement requires extensive statistical methodology validation reports. Added dedicated compliance specialists to every Tehran project team.</w:t>
      </w:r>
    </w:p>
    <w:bookmarkEnd w:id="25"/>
    <w:bookmarkStart w:id="26" w:name="X4863ca884f6c9b282cb9fe7a7e63ec8013c0497"/>
    <w:p>
      <w:pPr>
        <w:pStyle w:val="Heading2"/>
      </w:pPr>
      <w:r>
        <w:t xml:space="preserve">VI. Strategic Outlook: Iran Tehran as a Regional Hub</w:t>
      </w:r>
    </w:p>
    <w:p>
      <w:pPr>
        <w:pStyle w:val="FirstParagraph"/>
      </w:pPr>
      <w:r>
        <w:t xml:space="preserve">Tehran's statistical services market is projected to grow at 40% CAGR through 2025, driven by:</w:t>
      </w:r>
    </w:p>
    <w:p>
      <w:pPr>
        <w:numPr>
          <w:ilvl w:val="0"/>
          <w:numId w:val="1004"/>
        </w:numPr>
        <w:pStyle w:val="Compact"/>
      </w:pPr>
      <w:r>
        <w:t xml:space="preserve">Iran's new National Data Strategy (launched March 2023) requiring statistical validation for all public-private partnerships</w:t>
      </w:r>
    </w:p>
    <w:p>
      <w:pPr>
        <w:numPr>
          <w:ilvl w:val="0"/>
          <w:numId w:val="1004"/>
        </w:numPr>
        <w:pStyle w:val="Compact"/>
      </w:pPr>
      <w:r>
        <w:t xml:space="preserve">Expansion of Tehran's "Data Valley" economic zone housing 17 analytics firms in Phase 1</w:t>
      </w:r>
    </w:p>
    <w:p>
      <w:pPr>
        <w:numPr>
          <w:ilvl w:val="0"/>
          <w:numId w:val="1004"/>
        </w:numPr>
        <w:pStyle w:val="Compact"/>
      </w:pPr>
      <w:r>
        <w:t xml:space="preserve">Increasing demand from manufacturing sectors seeking quality control statistics (e.g., Iran Steel, Bahar Company)</w:t>
      </w:r>
    </w:p>
    <w:p>
      <w:pPr>
        <w:pStyle w:val="FirstParagraph"/>
      </w:pPr>
      <w:r>
        <w:rPr>
          <w:bCs/>
          <w:b/>
        </w:rPr>
        <w:t xml:space="preserve">We recommend:</w:t>
      </w:r>
      <w:r>
        <w:t xml:space="preserve"> </w:t>
      </w:r>
      <w:r>
        <w:t xml:space="preserve">Establishing a dedicated Tehran Sales Command Center by Q2 2024 to manage the expected 50% market share increase. This will position us as the premier Statistician service provider across Iran, with Tehran serving as our regional command center for Middle Eastern operations.</w:t>
      </w:r>
    </w:p>
    <w:bookmarkEnd w:id="26"/>
    <w:bookmarkStart w:id="27" w:name="vii.-conclusion"/>
    <w:p>
      <w:pPr>
        <w:pStyle w:val="Heading2"/>
      </w:pPr>
      <w:r>
        <w:t xml:space="preserve">VII. Conclusion</w:t>
      </w:r>
    </w:p>
    <w:p>
      <w:pPr>
        <w:pStyle w:val="FirstParagraph"/>
      </w:pPr>
      <w:r>
        <w:t xml:space="preserve">The 2023 Sales Report confirms that statistical services have evolved from a niche offering to a strategic imperative within Iran Tehran's business ecosystem. Our Statisticians are no longer mere data processors – they are now value architects enabling critical enterprise decisions across Iran's most dynamic sectors. With revenue growth outpacing the national GDP growth rate by 2.3x and our market share in Tehran increasing from 18% to 34%, we have positioned ourselves as indispensable partners for businesses navigating Iran's data-driven future.</w:t>
      </w:r>
    </w:p>
    <w:p>
      <w:pPr>
        <w:pStyle w:val="BodyText"/>
      </w:pPr>
      <w:r>
        <w:t xml:space="preserve">As Tehran accelerates its journey toward becoming a Middle Eastern analytics capital, the Statistician role has become the cornerstone of our sales strategy. We are not merely selling statistical services – we are enabling the next generation of Iranian business excellence through rigorous data science. The 2023 results validate this approach: Every new contract in Tehran represents a step toward transforming Iran's economic landscape through statistical excellence.</w:t>
      </w:r>
    </w:p>
    <w:p>
      <w:pPr>
        <w:pStyle w:val="BodyText"/>
      </w:pPr>
      <w:r>
        <w:rPr>
          <w:bCs/>
          <w:b/>
        </w:rPr>
        <w:t xml:space="preserve">Prepared By:</w:t>
      </w:r>
      <w:r>
        <w:t xml:space="preserve"> </w:t>
      </w:r>
      <w:r>
        <w:t xml:space="preserve">Global Analytics Sales Department</w:t>
      </w:r>
      <w:r>
        <w:br/>
      </w:r>
      <w:r>
        <w:rPr>
          <w:bCs/>
          <w:b/>
        </w:rPr>
        <w:t xml:space="preserve">Contact:</w:t>
      </w:r>
      <w:r>
        <w:t xml:space="preserve"> </w:t>
      </w:r>
      <w:r>
        <w:t xml:space="preserve">sales@iranservicestats.com | +98 21 XXXX XXXX</w:t>
      </w:r>
    </w:p>
    <w:p>
      <w:r>
        <w:pict>
          <v:rect style="width:0;height:1.5pt" o:hralign="center" o:hrstd="t" o:hr="t"/>
        </w:pict>
      </w:r>
    </w:p>
    <w:p>
      <w:pPr>
        <w:pStyle w:val="FirstParagraph"/>
      </w:pPr>
      <w:r>
        <w:t xml:space="preserve">This report is confidential and prepared for internal use only. Copyright © 2023 Global Analytics Solutions. All rights reserved. Statistical data sources: Central Bank of Iran, Tehran Chamber of Commerce, University of Tehran Data Science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Statistical Services Performance in Tehran, Iran</dc:title>
  <dc:creator/>
  <dc:language>en</dc:language>
  <cp:keywords/>
  <dcterms:created xsi:type="dcterms:W3CDTF">2026-05-30T23:29:41Z</dcterms:created>
  <dcterms:modified xsi:type="dcterms:W3CDTF">2026-05-30T23:29:41Z</dcterms:modified>
</cp:coreProperties>
</file>

<file path=docProps/custom.xml><?xml version="1.0" encoding="utf-8"?>
<Properties xmlns="http://schemas.openxmlformats.org/officeDocument/2006/custom-properties" xmlns:vt="http://schemas.openxmlformats.org/officeDocument/2006/docPropsVTypes"/>
</file>