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28" w:name="X500ac5a83e0452400d0ef670c9c42afff8fbadb"/>
    <w:p>
      <w:pPr>
        <w:pStyle w:val="Heading1"/>
      </w:pPr>
      <w:r>
        <w:t xml:space="preserve">Quarterly Sales Performance Report: Statistical Analytics Services for Peru Lima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performance of our statistical services division within the Lima, Peru market for Q3 2023. As a leading provider of data-driven solutions, we have strategically positioned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teams to address critical business challenges across key sectors including finance, agriculture, and public administration in Peru's capital city. The quarter concluded with a 17% year-over-year growth in service contracts, solidifying our position as the preferred analytics partner for Lima-based enterprises. This growth directly correlates with increased demand for expert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services driven by regulatory changes and digital transformation initiatives across</w:t>
      </w:r>
      <w:r>
        <w:t xml:space="preserve"> </w:t>
      </w:r>
      <w:r>
        <w:rPr>
          <w:bCs/>
          <w:b/>
        </w:rPr>
        <w:t xml:space="preserve">Peru Lima</w:t>
      </w:r>
      <w:r>
        <w:t xml:space="preserve">'s business landscape.</w:t>
      </w:r>
    </w:p>
    <w:bookmarkEnd w:id="20"/>
    <w:bookmarkStart w:id="21" w:name="X9d520fb556767486ec00f4a6aef527c9583263e"/>
    <w:p>
      <w:pPr>
        <w:pStyle w:val="Heading2"/>
      </w:pPr>
      <w:r>
        <w:t xml:space="preserve">Market Context: The Strategic Imperative in Peru Lima</w:t>
      </w:r>
    </w:p>
    <w:p>
      <w:pPr>
        <w:pStyle w:val="FirstParagraph"/>
      </w:pPr>
      <w:r>
        <w:t xml:space="preserve">Lima, as the economic epicenter of Peru, houses 35% of the nation's GDP and hosts headquarters for over 80% of major Peruvian corporations. The National Institute of Statistics and Informatics (INEI) recently reported a 6.4% increase in data-driven decision-making adoption among Lima-based businesses since 2022. This trend has created unprecedented demand for specialized statistical expertise, particularly from qualified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professionals who understand Peru's unique economic context. Our localized approach—combining global statistical methodologies with deep knowledge of Peruvian market dynamics—has been instrumental in our sales success.</w:t>
      </w:r>
    </w:p>
    <w:bookmarkEnd w:id="21"/>
    <w:bookmarkStart w:id="22" w:name="sales-performance-metrics-q3-2023"/>
    <w:p>
      <w:pPr>
        <w:pStyle w:val="Heading2"/>
      </w:pPr>
      <w:r>
        <w:t xml:space="preserve">Sales Performance Metrics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Contract Value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Clients Acquired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Predictive Analytics for Agriculture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(including 3 major agribusinesses)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Risk 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Public Sector Compliance Reporting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$157,300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(including municipal government contracts)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Revenue Generated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$562,300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+21%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16 New Clients</w:t>
            </w:r>
          </w:p>
        </w:tc>
      </w:tr>
    </w:tbl>
    <w:bookmarkEnd w:id="22"/>
    <w:bookmarkStart w:id="23" w:name="key-sales-drivers-in-peru-lima"/>
    <w:p>
      <w:pPr>
        <w:pStyle w:val="Heading2"/>
      </w:pPr>
      <w:r>
        <w:t xml:space="preserve">Key Sales Drivers in Peru Lima</w:t>
      </w:r>
    </w:p>
    <w:p>
      <w:pPr>
        <w:pStyle w:val="FirstParagraph"/>
      </w:pPr>
      <w:r>
        <w:t xml:space="preserve">The success of our statistical services in the Lima market stems from three interconnected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Peru's 2023 Financial Transparency Act mandated enhanced data analytics capabilities for all listed companies.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teams developed tailored compliance packages that reduced client reporting time by 40%, directly driving contract renewals with Lima-based banks like Banco de Credito del Perú (BCP) and Scotiabank Peru.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Intelligence:</w:t>
      </w:r>
      <w:r>
        <w:t xml:space="preserve"> </w:t>
      </w:r>
      <w:r>
        <w:t xml:space="preserve">Our Lima office maintains exclusive partnerships with Universidad Nacional Mayor de San Marcos (UNMSM) for talent acquisition. This pipeline ensures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professionals understand regional nuances—from coastal fisheries data patterns to Andean agricultural cycles—enabling more accurate client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 Push:</w:t>
      </w:r>
      <w:r>
        <w:t xml:space="preserve"> </w:t>
      </w:r>
      <w:r>
        <w:t xml:space="preserve">78% of Lima businesses in our client base reported implementing new analytics tools during Q3. Our "Statistical Readiness Assessment" service (a core offering for Peru Lima clients) identified critical gaps, resulting in a 65% conversion rate to full service contracts.</w:t>
      </w:r>
    </w:p>
    <w:bookmarkEnd w:id="23"/>
    <w:bookmarkStart w:id="24" w:name="X2d219f2d42560399841c70c6f228c924cce8bd5"/>
    <w:p>
      <w:pPr>
        <w:pStyle w:val="Heading2"/>
      </w:pPr>
      <w:r>
        <w:t xml:space="preserve">Client Success Story: Agroexportadora Andina</w:t>
      </w:r>
    </w:p>
    <w:p>
      <w:pPr>
        <w:pStyle w:val="FirstParagraph"/>
      </w:pPr>
      <w:r>
        <w:t xml:space="preserve">One of our most significant Q3 wins involved Agroexportadora Andina, a Lima-based agricultural exporter with operations across the Peruvian highlands. Facing volatile crop yields and shifting export regulations, they engaged our team to develop a predictive model for crop forecasting.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professionals integrated historical INEI climate data with real-time satellite imagery and market price trends—specifically analyzing patterns unique to the Junín region. Within 90 days, the solution reduced their inventory costs by 22% and increased export accuracy by 35%. This client has now expanded their contract to cover all Peruvian production zones, representing $140,000 in annual recurring revenue for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division.</w:t>
      </w:r>
    </w:p>
    <w:bookmarkEnd w:id="24"/>
    <w:bookmarkStart w:id="25" w:name="challenges-and-strategic-adjustments"/>
    <w:p>
      <w:pPr>
        <w:pStyle w:val="Heading2"/>
      </w:pPr>
      <w:r>
        <w:t xml:space="preserve">Challenges and Strategic Adjustments</w:t>
      </w:r>
    </w:p>
    <w:p>
      <w:pPr>
        <w:pStyle w:val="FirstParagraph"/>
      </w:pPr>
      <w:r>
        <w:t xml:space="preserve">Despite strong results, we encountered two market-specific challenges in Lima: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Lima-Specific Talent Shortage:</w:t>
      </w:r>
      <w:r>
        <w:t xml:space="preserve"> </w:t>
      </w:r>
      <w:r>
        <w:t xml:space="preserve">68% of Lima-based businesses report difficulty hiring local statistical experts with Peru-relevant experience. We responded by launching the "Lima Statistical Fellowship" program at PUCP (Pontificia Universidad Católica del Perú), offering subsidized training for Peruvian graduates—resulting in a 30% faster recruitment pipeline.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Currency Volatility:</w:t>
      </w:r>
      <w:r>
        <w:t xml:space="preserve"> </w:t>
      </w:r>
      <w:r>
        <w:t xml:space="preserve">The sol-dollar exchange rate fluctuations impacted pricing. We introduced fixed-fee contracts denominated in soles for all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clients, increasing client retention by 18%.</w:t>
      </w:r>
    </w:p>
    <w:bookmarkEnd w:id="25"/>
    <w:bookmarkStart w:id="26" w:name="X555e98ad3a553df1a5947f2024c1cf97cf6106d"/>
    <w:p>
      <w:pPr>
        <w:pStyle w:val="Heading2"/>
      </w:pPr>
      <w:r>
        <w:t xml:space="preserve">Future Outlook: Strategic Positioning for Peru Lima</w:t>
      </w:r>
    </w:p>
    <w:p>
      <w:pPr>
        <w:pStyle w:val="FirstParagraph"/>
      </w:pPr>
      <w:r>
        <w:t xml:space="preserve">The next 18 months present significant opportunity. Peru's National Digital Strategy targets full statistical integration for all public services by 2025, creating a $34 million annual market for our services in Lima alone. We project a 35% CAGR (Compound Annual Growth Rate) for statistical solutions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through 2025. Our immediate strategy focuses on:</w:t>
      </w:r>
    </w:p>
    <w:p>
      <w:pPr>
        <w:numPr>
          <w:ilvl w:val="0"/>
          <w:numId w:val="1003"/>
        </w:numPr>
        <w:pStyle w:val="Compact"/>
      </w:pPr>
      <w:r>
        <w:t xml:space="preserve">Expanding our public sector division to serve Lima's municipal governments and national agencies like INEI.</w:t>
      </w:r>
    </w:p>
    <w:p>
      <w:pPr>
        <w:numPr>
          <w:ilvl w:val="0"/>
          <w:numId w:val="1003"/>
        </w:numPr>
        <w:pStyle w:val="Compact"/>
      </w:pPr>
      <w:r>
        <w:t xml:space="preserve">Developing industry-specific statistical modules for key Peruvian sectors: mining (using data from the Ministry of Energy), tourism (leveraging Lima's 8.5M annual visitors), and retail.</w:t>
      </w:r>
    </w:p>
    <w:p>
      <w:pPr>
        <w:numPr>
          <w:ilvl w:val="0"/>
          <w:numId w:val="1003"/>
        </w:numPr>
        <w:pStyle w:val="Compact"/>
      </w:pPr>
      <w:r>
        <w:t xml:space="preserve">Establishing a dedicated "Peru Data Lab" in Miraflores, Lima—where our local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teams will co-create solutions with clients in real-time.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Q3 2023 sales performance confirms that specialized statistical expertise is now a strategic necessity for businesses operating in Lima, Peru. Our success—evidenced by the 17% growth and expansion into critical sectors—demonstrates that investing in locally relevant statistical capabilities directly drives revenue and operational efficiency for Peruvian organizations. As we continue to deepen our roots within</w:t>
      </w:r>
      <w:r>
        <w:t xml:space="preserve"> </w:t>
      </w:r>
      <w:r>
        <w:rPr>
          <w:bCs/>
          <w:b/>
        </w:rPr>
        <w:t xml:space="preserve">Peru Lima</w:t>
      </w:r>
      <w:r>
        <w:t xml:space="preserve">'s business ecosystem,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teams will remain central to delivering measurable value through data. We recommend increasing the investment in localized statistical training programs by 25% in Q4 to capture the full potential of this growing market. The future of analytics in Peru is not just global—it's hyperlocal, and Lima is where it begins.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Statistical Services in Lima, Peru</dc:title>
  <dc:creator/>
  <dc:language>en</dc:language>
  <cp:keywords/>
  <dcterms:created xsi:type="dcterms:W3CDTF">2026-07-17T18:35:42Z</dcterms:created>
  <dcterms:modified xsi:type="dcterms:W3CDTF">2026-07-17T18:35:42Z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