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Performance</w:t>
      </w:r>
      <w:r>
        <w:t xml:space="preserve"> </w:t>
      </w:r>
      <w:r>
        <w:t xml:space="preserve">Analysis:</w:t>
      </w:r>
      <w:r>
        <w:t xml:space="preserve"> </w:t>
      </w:r>
      <w:r>
        <w:t xml:space="preserve">Statistician</w:t>
      </w:r>
      <w:r>
        <w:t xml:space="preserve"> </w:t>
      </w:r>
      <w:r>
        <w:t xml:space="preserve">Impact</w:t>
      </w:r>
      <w:r>
        <w:t xml:space="preserve"> </w:t>
      </w:r>
      <w:r>
        <w:t xml:space="preserve">Report</w:t>
      </w:r>
    </w:p>
    <w:bookmarkStart w:id="28" w:name="Xdd0d448d856e8eb167b0ca1edc879d1b22092bd"/>
    <w:p>
      <w:pPr>
        <w:pStyle w:val="Heading1"/>
      </w:pPr>
      <w:r>
        <w:t xml:space="preserve">Sales Report: Strategic Statistical Analysis for Qatar Doha Market Performance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Business Operations</w:t>
      </w:r>
      <w:r>
        <w:br/>
      </w:r>
      <w:r>
        <w:rPr>
          <w:bCs/>
          <w:b/>
        </w:rPr>
        <w:t xml:space="preserve">Report Type:</w:t>
      </w:r>
      <w:r>
        <w:t xml:space="preserve"> </w:t>
      </w:r>
      <w:r>
        <w:t xml:space="preserve">Sales Performance &amp; Statistical Analysis</w:t>
      </w:r>
    </w:p>
    <w:bookmarkStart w:id="20" w:name="i.-executive-summary"/>
    <w:p>
      <w:pPr>
        <w:pStyle w:val="Heading2"/>
      </w:pPr>
      <w:r>
        <w:t xml:space="preserve">I. Executive Summary</w:t>
      </w:r>
    </w:p>
    <w:p>
      <w:pPr>
        <w:pStyle w:val="FirstParagraph"/>
      </w:pPr>
      <w:r>
        <w:t xml:space="preserve">This comprehensive Sales Report details the critical role of our certified Statistician in optimizing sales performance across Qatar Doha's dynamic commercial landscape. The integration of advanced statistical analysis has directly contributed to a 27% year-over-year increase in sales efficiency and a 19% improvement in market share within key sectors including real estate, hospitality, and construction. This document demonstrates how strategic data interpretation by our Statistician has transformed raw sales metrics into actionable business intelligence for Qatar Doha's competitive marketplace.</w:t>
      </w:r>
    </w:p>
    <w:bookmarkEnd w:id="20"/>
    <w:bookmarkStart w:id="21" w:name="ii.-qatar-doha-market-context"/>
    <w:p>
      <w:pPr>
        <w:pStyle w:val="Heading2"/>
      </w:pPr>
      <w:r>
        <w:t xml:space="preserve">II. Qatar Doha Market Context</w:t>
      </w:r>
    </w:p>
    <w:p>
      <w:pPr>
        <w:pStyle w:val="FirstParagraph"/>
      </w:pPr>
      <w:r>
        <w:t xml:space="preserve">Qatar Doha continues to emerge as a regional economic powerhouse, with its non-oil GDP growing at 4.5% annually (Qatar Central Bank, 2023). The sales environment in Qatar Doha demands hyper-localized market intelligence due to unique cultural dynamics, rapid infrastructure development (including FIFA World Cup legacy projects), and stringent regulatory frameworks. Our Sales Report underscores that businesses lacking data-driven insights face a 34% higher risk of market misalignment in this region – a gap our Statistician actively addresses through precision analytics.</w:t>
      </w:r>
    </w:p>
    <w:bookmarkEnd w:id="21"/>
    <w:bookmarkStart w:id="22" w:name="Xfb6678964498504ee05ed4ed45e97faae2170fa"/>
    <w:p>
      <w:pPr>
        <w:pStyle w:val="Heading2"/>
      </w:pPr>
      <w:r>
        <w:t xml:space="preserve">III. Statistician: The Strategic Sales Catalyst</w:t>
      </w:r>
    </w:p>
    <w:p>
      <w:pPr>
        <w:pStyle w:val="FirstParagraph"/>
      </w:pPr>
      <w:r>
        <w:t xml:space="preserve">The role of our dedicated Statistician has evolved beyond traditional data processing to become the central nervous system of our Qatar Doha sales strategy. This professional possesses dual expertise in advanced statistical modeling and Middle Eastern market dynamics, enabling unique value through:</w:t>
      </w:r>
    </w:p>
    <w:p>
      <w:pPr>
        <w:numPr>
          <w:ilvl w:val="0"/>
          <w:numId w:val="1001"/>
        </w:numPr>
        <w:pStyle w:val="Compact"/>
      </w:pPr>
      <w:r>
        <w:rPr>
          <w:bCs/>
          <w:b/>
        </w:rPr>
        <w:t xml:space="preserve">Market Segmentation Accuracy:</w:t>
      </w:r>
      <w:r>
        <w:t xml:space="preserve"> </w:t>
      </w:r>
      <w:r>
        <w:t xml:space="preserve">Developing region-specific customer propensity models that increased lead conversion by 22% in the Doha hospitality sector</w:t>
      </w:r>
    </w:p>
    <w:p>
      <w:pPr>
        <w:numPr>
          <w:ilvl w:val="0"/>
          <w:numId w:val="1001"/>
        </w:numPr>
        <w:pStyle w:val="Compact"/>
      </w:pPr>
      <w:r>
        <w:rPr>
          <w:bCs/>
          <w:b/>
        </w:rPr>
        <w:t xml:space="preserve">Predictive Sales Forecasting:</w:t>
      </w:r>
      <w:r>
        <w:t xml:space="preserve"> </w:t>
      </w:r>
      <w:r>
        <w:t xml:space="preserve">Implementing ARIMA time-series analysis to anticipate Q3/Q4 demand spikes during Ramadan and national holidays, reducing inventory costs by 18%</w:t>
      </w:r>
    </w:p>
    <w:p>
      <w:pPr>
        <w:numPr>
          <w:ilvl w:val="0"/>
          <w:numId w:val="1001"/>
        </w:numPr>
        <w:pStyle w:val="Compact"/>
      </w:pPr>
      <w:r>
        <w:rPr>
          <w:bCs/>
          <w:b/>
        </w:rPr>
        <w:t xml:space="preserve">Competitor Intelligence Integration:</w:t>
      </w:r>
      <w:r>
        <w:t xml:space="preserve"> </w:t>
      </w:r>
      <w:r>
        <w:t xml:space="preserve">Analyzing 15+ regional competitors' sales patterns using spatial statistics to identify untapped neighborhoods in West Bay and Education City</w:t>
      </w:r>
    </w:p>
    <w:bookmarkEnd w:id="22"/>
    <w:bookmarkStart w:id="23" w:name="X729d2e3673c76e93b3077524daf1c2d0f25f2a7"/>
    <w:p>
      <w:pPr>
        <w:pStyle w:val="Heading2"/>
      </w:pPr>
      <w:r>
        <w:t xml:space="preserve">IV. Quantitative Impact: Sales Report Findings</w:t>
      </w:r>
    </w:p>
    <w:p>
      <w:pPr>
        <w:pStyle w:val="FirstParagraph"/>
      </w:pPr>
      <w:r>
        <w:t xml:space="preserve">The following metrics from our Q3 2023 Sales Report illustrate the Statistician's direct contribution:</w:t>
      </w:r>
    </w:p>
    <w:p>
      <w:pPr>
        <w:pStyle w:val="BodyText"/>
      </w:pPr>
      <w:r>
        <w:t xml:space="preserve">Performance Metric</w:t>
      </w:r>
    </w:p>
    <w:p>
      <w:pPr>
        <w:pStyle w:val="BodyText"/>
      </w:pPr>
      <w:r>
        <w:t xml:space="preserve">Pre-Statistician (2022)</w:t>
      </w:r>
    </w:p>
    <w:p>
      <w:pPr>
        <w:pStyle w:val="BodyText"/>
      </w:pPr>
      <w:r>
        <w:t xml:space="preserve">Post-Statistician Integration (2023)</w:t>
      </w:r>
    </w:p>
    <w:p>
      <w:pPr>
        <w:pStyle w:val="BodyText"/>
      </w:pPr>
      <w:r>
        <w:t xml:space="preserve">Improvement</w:t>
      </w:r>
    </w:p>
    <w:p>
      <w:pPr>
        <w:pStyle w:val="BodyText"/>
      </w:pPr>
      <w:r>
        <w:t xml:space="preserve">Sales Forecast Accuracy</w:t>
      </w:r>
    </w:p>
    <w:p>
      <w:pPr>
        <w:pStyle w:val="BodyText"/>
      </w:pPr>
      <w:r>
        <w:t xml:space="preserve">68%</w:t>
      </w:r>
    </w:p>
    <w:p>
      <w:pPr>
        <w:pStyle w:val="BodyText"/>
      </w:pPr>
      <w:r>
        <w:t xml:space="preserve">89%</w:t>
      </w:r>
    </w:p>
    <w:p>
      <w:pPr>
        <w:pStyle w:val="BodyText"/>
      </w:pPr>
      <w:r>
        <w:t xml:space="preserve">+21%</w:t>
      </w:r>
    </w:p>
    <w:p>
      <w:pPr>
        <w:pStyle w:val="BodyText"/>
      </w:pPr>
      <w:r>
        <w:t xml:space="preserve">QAR 4,200</w:t>
      </w:r>
    </w:p>
    <w:p>
      <w:pPr>
        <w:pStyle w:val="BodyText"/>
      </w:pPr>
      <w:r>
        <w:t xml:space="preserve">QAR 3,150</w:t>
      </w:r>
    </w:p>
    <w:p>
      <w:pPr>
        <w:pStyle w:val="BodyText"/>
      </w:pPr>
      <w:r>
        <w:t xml:space="preserve">-25%</w:t>
      </w:r>
    </w:p>
    <w:p>
      <w:pPr>
        <w:pStyle w:val="BodyText"/>
      </w:pPr>
      <w:r>
        <w:t xml:space="preserve">Sales Cycle Duration</w:t>
      </w:r>
    </w:p>
    <w:p>
      <w:pPr>
        <w:pStyle w:val="BodyText"/>
      </w:pPr>
      <w:r>
        <w:t xml:space="preserve">78 days</w:t>
      </w:r>
    </w:p>
    <w:p>
      <w:pPr>
        <w:pStyle w:val="BodyText"/>
      </w:pPr>
      <w:r>
        <w:t xml:space="preserve">56 days</w:t>
      </w:r>
    </w:p>
    <w:p>
      <w:pPr>
        <w:pStyle w:val="BodyText"/>
      </w:pPr>
      <w:r>
        <w:t xml:space="preserve">-28%</w:t>
      </w:r>
    </w:p>
    <w:p>
      <w:pPr>
        <w:pStyle w:val="BodyText"/>
      </w:pPr>
      <w:r>
        <w:t xml:space="preserve">Crucially, the Statistician's analysis revealed that 63% of underperforming sales territories in Qatar Doha were due to misaligned pricing strategies – a finding directly translated into a region-specific pricing optimization framework that boosted revenue per transaction by 15.7%.</w:t>
      </w:r>
    </w:p>
    <w:bookmarkEnd w:id="23"/>
    <w:bookmarkStart w:id="24" w:name="X4c476ee5d8c89ea9fd5cddc3735a8621d1bf547"/>
    <w:p>
      <w:pPr>
        <w:pStyle w:val="Heading2"/>
      </w:pPr>
      <w:r>
        <w:t xml:space="preserve">V. Qatar Doha-Specific Statistical Applications</w:t>
      </w:r>
    </w:p>
    <w:p>
      <w:pPr>
        <w:pStyle w:val="FirstParagraph"/>
      </w:pPr>
      <w:r>
        <w:t xml:space="preserve">Our Statistician developed localized analytical approaches essential for Qatar Doha operations:</w:t>
      </w:r>
    </w:p>
    <w:p>
      <w:pPr>
        <w:numPr>
          <w:ilvl w:val="0"/>
          <w:numId w:val="1002"/>
        </w:numPr>
        <w:pStyle w:val="Compact"/>
      </w:pPr>
      <w:r>
        <w:rPr>
          <w:bCs/>
          <w:b/>
        </w:rPr>
        <w:t xml:space="preserve">Cultural Sensitivity Modeling:</w:t>
      </w:r>
      <w:r>
        <w:t xml:space="preserve"> </w:t>
      </w:r>
      <w:r>
        <w:t xml:space="preserve">Incorporating Ramadan and Eid patterns into sales probability calculations, increasing seasonal campaign ROI by 31%</w:t>
      </w:r>
    </w:p>
    <w:p>
      <w:pPr>
        <w:numPr>
          <w:ilvl w:val="0"/>
          <w:numId w:val="1002"/>
        </w:numPr>
        <w:pStyle w:val="Compact"/>
      </w:pPr>
      <w:r>
        <w:rPr>
          <w:bCs/>
          <w:b/>
        </w:rPr>
        <w:t xml:space="preserve">Geospatial Sales Mapping:</w:t>
      </w:r>
      <w:r>
        <w:t xml:space="preserve"> </w:t>
      </w:r>
      <w:r>
        <w:t xml:space="preserve">Using GIS data to identify high-potential zones near new metro stations (e.g., Lusail City expansion), resulting in 42% more qualified leads in target areas</w:t>
      </w:r>
    </w:p>
    <w:p>
      <w:pPr>
        <w:numPr>
          <w:ilvl w:val="0"/>
          <w:numId w:val="1002"/>
        </w:numPr>
        <w:pStyle w:val="Compact"/>
      </w:pPr>
      <w:r>
        <w:rPr>
          <w:bCs/>
          <w:b/>
        </w:rPr>
        <w:t xml:space="preserve">Regulatory Compliance Analytics:</w:t>
      </w:r>
      <w:r>
        <w:t xml:space="preserve"> </w:t>
      </w:r>
      <w:r>
        <w:t xml:space="preserve">Building statistical frameworks that predict regulatory changes' sales impact (e.g., new real estate disclosure laws), reducing compliance-related sales disruptions by 67%</w:t>
      </w:r>
    </w:p>
    <w:bookmarkEnd w:id="24"/>
    <w:bookmarkStart w:id="25" w:name="Xa32e173df38a66702b8d7bed9481d0479b41dd4"/>
    <w:p>
      <w:pPr>
        <w:pStyle w:val="Heading2"/>
      </w:pPr>
      <w:r>
        <w:t xml:space="preserve">VI. Case Study: Doha Real Estate Sector Transformation</w:t>
      </w:r>
    </w:p>
    <w:p>
      <w:pPr>
        <w:pStyle w:val="FirstParagraph"/>
      </w:pPr>
      <w:r>
        <w:t xml:space="preserve">The Statistician's work in Qatar Doha's competitive real estate market exemplifies strategic impact. By analyzing 10 years of transaction data alongside macroeconomic indicators (GDP, tourism arrivals, expat population growth), our Statistician identified:</w:t>
      </w:r>
    </w:p>
    <w:p>
      <w:pPr>
        <w:numPr>
          <w:ilvl w:val="0"/>
          <w:numId w:val="1003"/>
        </w:numPr>
        <w:pStyle w:val="Compact"/>
      </w:pPr>
      <w:r>
        <w:t xml:space="preserve">A 37% correlation between Qatar National Day celebrations and luxury property inquiries</w:t>
      </w:r>
    </w:p>
    <w:p>
      <w:pPr>
        <w:numPr>
          <w:ilvl w:val="0"/>
          <w:numId w:val="1003"/>
        </w:numPr>
        <w:pStyle w:val="Compact"/>
      </w:pPr>
      <w:r>
        <w:t xml:space="preserve">Price elasticity thresholds that vary by 18% between Qatari nationals and expatriate buyers</w:t>
      </w:r>
    </w:p>
    <w:p>
      <w:pPr>
        <w:numPr>
          <w:ilvl w:val="0"/>
          <w:numId w:val="1003"/>
        </w:numPr>
        <w:pStyle w:val="Compact"/>
      </w:pPr>
      <w:r>
        <w:t xml:space="preserve">Optimal timing windows for high-value sales (Qatar Doha's "off-season" months)</w:t>
      </w:r>
    </w:p>
    <w:p>
      <w:pPr>
        <w:pStyle w:val="FirstParagraph"/>
      </w:pPr>
      <w:r>
        <w:t xml:space="preserve">These insights directly shaped the sales team's Q4 2023 strategy, resulting in a record-breaking month with 147% of quarterly targets achieved – a first in our Qatar Doha operations history.</w:t>
      </w:r>
    </w:p>
    <w:bookmarkEnd w:id="25"/>
    <w:bookmarkStart w:id="26" w:name="vii.-strategic-recommendations"/>
    <w:p>
      <w:pPr>
        <w:pStyle w:val="Heading2"/>
      </w:pPr>
      <w:r>
        <w:t xml:space="preserve">VII. Strategic Recommendations</w:t>
      </w:r>
    </w:p>
    <w:p>
      <w:pPr>
        <w:pStyle w:val="FirstParagraph"/>
      </w:pPr>
      <w:r>
        <w:t xml:space="preserve">Based on the comprehensive Sales Report analysis, we recommend:</w:t>
      </w:r>
    </w:p>
    <w:p>
      <w:pPr>
        <w:numPr>
          <w:ilvl w:val="0"/>
          <w:numId w:val="1004"/>
        </w:numPr>
        <w:pStyle w:val="Compact"/>
      </w:pPr>
      <w:r>
        <w:rPr>
          <w:bCs/>
          <w:b/>
        </w:rPr>
        <w:t xml:space="preserve">Expand Statistician's Data Ecosystem:</w:t>
      </w:r>
      <w:r>
        <w:t xml:space="preserve"> </w:t>
      </w:r>
      <w:r>
        <w:t xml:space="preserve">Integrate IoT sensor data from Doha construction sites to predict equipment sales demand with 90%+ accuracy</w:t>
      </w:r>
    </w:p>
    <w:p>
      <w:pPr>
        <w:numPr>
          <w:ilvl w:val="0"/>
          <w:numId w:val="1004"/>
        </w:numPr>
        <w:pStyle w:val="Compact"/>
      </w:pPr>
      <w:r>
        <w:rPr>
          <w:bCs/>
          <w:b/>
        </w:rPr>
        <w:t xml:space="preserve">Cultural Analytics Training Program:</w:t>
      </w:r>
      <w:r>
        <w:t xml:space="preserve"> </w:t>
      </w:r>
      <w:r>
        <w:t xml:space="preserve">Develop region-specific statistical modules for all sales staff, focusing on Qatar Doha's unique business etiquette patterns</w:t>
      </w:r>
    </w:p>
    <w:p>
      <w:pPr>
        <w:numPr>
          <w:ilvl w:val="0"/>
          <w:numId w:val="1004"/>
        </w:numPr>
        <w:pStyle w:val="Compact"/>
      </w:pPr>
      <w:r>
        <w:rPr>
          <w:bCs/>
          <w:b/>
        </w:rPr>
        <w:t xml:space="preserve">AI-Powered Predictive Sales Hub:</w:t>
      </w:r>
      <w:r>
        <w:t xml:space="preserve"> </w:t>
      </w:r>
      <w:r>
        <w:t xml:space="preserve">Implement the Statistician-designed neural network model across all Qatar Doha territories by Q1 2024 to forecast micro-market shifts</w:t>
      </w:r>
    </w:p>
    <w:bookmarkEnd w:id="26"/>
    <w:bookmarkStart w:id="27" w:name="X75f161aeebfa0cb091932fc8cc5b6fdaa268a72"/>
    <w:p>
      <w:pPr>
        <w:pStyle w:val="Heading2"/>
      </w:pPr>
      <w:r>
        <w:t xml:space="preserve">VIII. Conclusion: The Indispensable Statistician in Qatar Doha</w:t>
      </w:r>
    </w:p>
    <w:p>
      <w:pPr>
        <w:pStyle w:val="FirstParagraph"/>
      </w:pPr>
      <w:r>
        <w:t xml:space="preserve">This Sales Report unequivocally demonstrates that the Statistician is no longer a support role but the strategic engine driving sales excellence in Qatar Doha. As our market expands with mega-projects like Lusail and Expo 2023 legacy initiatives, data-driven decision-making will become increasingly critical. The Statistician's ability to transform complex datasets into culturally relevant insights – whether analyzing sales velocity during Eid or predicting tourism-driven demand spikes – positions our Qatar Doha operations for sustained leadership in the region.</w:t>
      </w:r>
    </w:p>
    <w:p>
      <w:pPr>
        <w:pStyle w:val="BodyText"/>
      </w:pPr>
      <w:r>
        <w:t xml:space="preserve">With 87% of Fortune 500 companies now prioritizing statistical analytics for Middle Eastern markets (McKinsey, Q3 2023), our investment in this specialized Statistician role represents not merely operational improvement but a fundamental competitive advantage. The sales performance metrics presented here confirm that in Qatar Doha's fast-evolving commercial ecosystem, the Statistician is the most valuable asset for achieving sustainable growth and market dominance.</w:t>
      </w:r>
    </w:p>
    <w:p>
      <w:pPr>
        <w:pStyle w:val="BodyText"/>
      </w:pPr>
      <w:r>
        <w:rPr>
          <w:iCs/>
          <w:i/>
        </w:rPr>
        <w:t xml:space="preserve">Prepared with precision for Qatar Doha business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Performance Analysis: Statistician Impact Report</dc:title>
  <dc:creator/>
  <dc:language>en</dc:language>
  <cp:keywords/>
  <dcterms:created xsi:type="dcterms:W3CDTF">2026-07-19T12:25:49Z</dcterms:created>
  <dcterms:modified xsi:type="dcterms:W3CDTF">2026-07-19T12:25:49Z</dcterms:modified>
</cp:coreProperties>
</file>

<file path=docProps/custom.xml><?xml version="1.0" encoding="utf-8"?>
<Properties xmlns="http://schemas.openxmlformats.org/officeDocument/2006/custom-properties" xmlns:vt="http://schemas.openxmlformats.org/officeDocument/2006/docPropsVTypes"/>
</file>