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Analysis:</w:t>
      </w:r>
      <w:r>
        <w:t xml:space="preserve"> </w:t>
      </w:r>
      <w:r>
        <w:t xml:space="preserve">Statistician</w:t>
      </w:r>
      <w:r>
        <w:t xml:space="preserve"> </w:t>
      </w:r>
      <w:r>
        <w:t xml:space="preserve">Report</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6e3ff1afc1b899909d837be61c6e10fb9492c75"/>
    <w:p>
      <w:pPr>
        <w:pStyle w:val="Heading1"/>
      </w:pPr>
      <w:r>
        <w:t xml:space="preserve">Quarterly Sales Performance Analysis: Statistician's Comprehensive Report for United States Miami Market</w:t>
      </w:r>
    </w:p>
    <w:bookmarkStart w:id="20" w:name="executive-summary"/>
    <w:p>
      <w:pPr>
        <w:pStyle w:val="Heading2"/>
      </w:pPr>
      <w:r>
        <w:t xml:space="preserve">Executive Summary</w:t>
      </w:r>
    </w:p>
    <w:p>
      <w:pPr>
        <w:pStyle w:val="FirstParagraph"/>
      </w:pPr>
      <w:r>
        <w:t xml:space="preserve">This critical Sales Report delivers data-driven insights from the perspective of a professional Statistician, specifically analyzing sales performance across the vibrant United States Miami metropolitan area. As a dedicated Statistician with over seven years of specialized experience in market analytics, I have meticulously processed 18 months of sales data spanning 42 distinct retail locations throughout Greater Miami. The findings reveal transformative opportunities for strategic growth within this high-potential market, where consumer behavior patterns significantly differ from national averages. This Sales Report serves as an indispensable tool for leadership to optimize resource allocation and capitalize on emerging trends in the United States Miami economy.</w:t>
      </w:r>
    </w:p>
    <w:bookmarkEnd w:id="20"/>
    <w:bookmarkStart w:id="21" w:name="X9e46971315a1339752c70423e71522c2d0c744f"/>
    <w:p>
      <w:pPr>
        <w:pStyle w:val="Heading2"/>
      </w:pPr>
      <w:r>
        <w:t xml:space="preserve">Methodology: Rigorous Statistical Approach</w:t>
      </w:r>
    </w:p>
    <w:p>
      <w:pPr>
        <w:pStyle w:val="FirstParagraph"/>
      </w:pPr>
      <w:r>
        <w:t xml:space="preserve">As a certified Statistician, I employed advanced analytical frameworks to ensure this Sales Report maintains scientific integrity. Utilizing Python-based statistical modeling with Scikit-learn and Tableau for visualization, we processed 3.7 million transaction records from Q1 2023 through Q3 2024. The analysis incorporated multi-variable regression models accounting for seasonal fluctuations, demographic variables (including the unique cultural diversity of Miami's population), economic indicators, and competitor activity within the United States Miami footprint. Crucially, this Statistician's methodology isolated location-specific factors by implementing geographic information system (GIS) mapping to correlate sales performance with neighborhood characteristics – a critical differentiator in Miami's complex urban landscape.</w:t>
      </w:r>
    </w:p>
    <w:bookmarkEnd w:id="21"/>
    <w:bookmarkStart w:id="22" w:name="X4bb2ab39aa52dd872b2b34293908175fadd74c2"/>
    <w:p>
      <w:pPr>
        <w:pStyle w:val="Heading2"/>
      </w:pPr>
      <w:r>
        <w:t xml:space="preserve">Key Performance Indicators: Miami Market Breakdown</w:t>
      </w:r>
    </w:p>
    <w:p>
      <w:pPr>
        <w:pStyle w:val="FirstParagraph"/>
      </w:pPr>
      <w:r>
        <w:t xml:space="preserve">The Sales Report reveals three pivotal metrics demonstrating the statistical significance of our Miami operations:</w:t>
      </w:r>
    </w:p>
    <w:p>
      <w:pPr>
        <w:pStyle w:val="BodyText"/>
      </w:pPr>
      <w:r>
        <w:t xml:space="preserve">KPI</w:t>
      </w:r>
    </w:p>
    <w:p>
      <w:pPr>
        <w:pStyle w:val="BodyText"/>
      </w:pPr>
      <w:r>
        <w:t xml:space="preserve">Q3 2024</w:t>
      </w:r>
    </w:p>
    <w:p>
      <w:pPr>
        <w:pStyle w:val="BodyText"/>
      </w:pPr>
      <w:r>
        <w:t xml:space="preserve">Q2 2024</w:t>
      </w:r>
    </w:p>
    <w:p>
      <w:pPr>
        <w:pStyle w:val="BodyText"/>
      </w:pPr>
      <w:r>
        <w:t xml:space="preserve">YoY Change</w:t>
      </w:r>
    </w:p>
    <w:p>
      <w:pPr>
        <w:pStyle w:val="BodyText"/>
      </w:pPr>
      <w:r>
        <w:t xml:space="preserve">Miami vs National Avg.</w:t>
      </w:r>
    </w:p>
    <w:p>
      <w:pPr>
        <w:pStyle w:val="BodyText"/>
      </w:pPr>
      <w:r>
        <w:t xml:space="preserve">Avg. Transaction Value</w:t>
      </w:r>
    </w:p>
    <w:p>
      <w:pPr>
        <w:pStyle w:val="BodyText"/>
      </w:pPr>
      <w:r>
        <w:t xml:space="preserve">$147.85</w:t>
      </w:r>
    </w:p>
    <w:p>
      <w:pPr>
        <w:pStyle w:val="BodyText"/>
      </w:pPr>
      <w:r>
        <w:t xml:space="preserve">$139.20</w:t>
      </w:r>
    </w:p>
    <w:p>
      <w:pPr>
        <w:pStyle w:val="BodyText"/>
      </w:pPr>
      <w:r>
        <w:t xml:space="preserve">+6.2%</w:t>
      </w:r>
    </w:p>
    <w:p>
      <w:pPr>
        <w:pStyle w:val="BodyText"/>
      </w:pPr>
      <w:r>
        <w:t xml:space="preserve">+18.7% (Miami)</w:t>
      </w:r>
    </w:p>
    <w:p>
      <w:pPr>
        <w:pStyle w:val="BodyText"/>
      </w:pPr>
      <w:r>
        <w:t xml:space="preserve">Customer Retention Rate</w:t>
      </w:r>
    </w:p>
    <w:p>
      <w:pPr>
        <w:pStyle w:val="BodyText"/>
      </w:pPr>
      <w:r>
        <w:t xml:space="preserve">68.3%</w:t>
      </w:r>
    </w:p>
    <w:p>
      <w:pPr>
        <w:pStyle w:val="BodyText"/>
      </w:pPr>
      <w:r>
        <w:t xml:space="preserve">64.1%</w:t>
      </w:r>
    </w:p>
    <w:p>
      <w:pPr>
        <w:pStyle w:val="BodyText"/>
      </w:pPr>
      <w:r>
        <w:t xml:space="preserve">+4.2 pts.</w:t>
      </w:r>
    </w:p>
    <w:p>
      <w:pPr>
        <w:pStyle w:val="BodyText"/>
      </w:pPr>
      <w:r>
        <w:t xml:space="preserve">+9.5% (Miami)</w:t>
      </w:r>
    </w:p>
    <w:p>
      <w:pPr>
        <w:pStyle w:val="BodyText"/>
      </w:pPr>
      <w:r>
        <w:t xml:space="preserve">New Customer Acquisition Cost</w:t>
      </w:r>
    </w:p>
    <w:p>
      <w:pPr>
        <w:pStyle w:val="BodyText"/>
      </w:pPr>
      <w:r>
        <w:t xml:space="preserve">$78.20</w:t>
      </w:r>
    </w:p>
    <w:p>
      <w:pPr>
        <w:pStyle w:val="BodyText"/>
      </w:pPr>
      <w:r>
        <w:t xml:space="preserve">$85.60</w:t>
      </w:r>
    </w:p>
    <w:p>
      <w:pPr>
        <w:pStyle w:val="BodyText"/>
      </w:pPr>
      <w:r>
        <w:t xml:space="preserve">-8.6%</w:t>
      </w:r>
    </w:p>
    <w:p>
      <w:pPr>
        <w:pStyle w:val="BodyText"/>
      </w:pPr>
      <w:r>
        <w:t xml:space="preserve">-12.3% (Miami)</w:t>
      </w:r>
    </w:p>
    <w:p>
      <w:pPr>
        <w:pStyle w:val="BodyText"/>
      </w:pPr>
      <w:r>
        <w:t xml:space="preserve">These figures underscore Miami's exceptional performance: the 68.3% retention rate exceeds national benchmarks by 9.5 percentage points, while our acquisition costs remain significantly lower than regional averages – a direct result of culturally attuned marketing strategies validated through this Statistician's analysis.</w:t>
      </w:r>
    </w:p>
    <w:bookmarkEnd w:id="22"/>
    <w:bookmarkStart w:id="23" w:name="X7077c777c152c56b88cabe63439ad0aa2af903b"/>
    <w:p>
      <w:pPr>
        <w:pStyle w:val="Heading2"/>
      </w:pPr>
      <w:r>
        <w:t xml:space="preserve">Demographic Insights Driving Sales Strategy</w:t>
      </w:r>
    </w:p>
    <w:p>
      <w:pPr>
        <w:pStyle w:val="FirstParagraph"/>
      </w:pPr>
      <w:r>
        <w:t xml:space="preserve">As a Statistician specializing in geo-demographic analysis, my examination of Miami's unique market dynamics reveals three critical consumer segments:</w:t>
      </w:r>
    </w:p>
    <w:p>
      <w:pPr>
        <w:numPr>
          <w:ilvl w:val="0"/>
          <w:numId w:val="1001"/>
        </w:numPr>
        <w:pStyle w:val="Compact"/>
      </w:pPr>
      <w:r>
        <w:rPr>
          <w:bCs/>
          <w:b/>
        </w:rPr>
        <w:t xml:space="preserve">Luxury Hispanic Demographic (47% of sales):</w:t>
      </w:r>
      <w:r>
        <w:t xml:space="preserve"> </w:t>
      </w:r>
      <w:r>
        <w:t xml:space="preserve">This segment demonstrates 32% higher basket size than national averages. The Sales Report identifies Spanish-language marketing campaigns as the primary driver, with a 24.6% lift in conversions among this group. Crucially, we've observed a 15-20% seasonal spike during Miami's Hispanic Heritage Month (September), requiring anticipatory inventory planning.</w:t>
      </w:r>
    </w:p>
    <w:p>
      <w:pPr>
        <w:numPr>
          <w:ilvl w:val="0"/>
          <w:numId w:val="1001"/>
        </w:numPr>
        <w:pStyle w:val="Compact"/>
      </w:pPr>
      <w:r>
        <w:rPr>
          <w:bCs/>
          <w:b/>
        </w:rPr>
        <w:t xml:space="preserve">International Tourist Segment (33% of sales):</w:t>
      </w:r>
      <w:r>
        <w:t xml:space="preserve"> </w:t>
      </w:r>
      <w:r>
        <w:t xml:space="preserve">Analyzed through airport transaction data and hotel partnership metrics, this segment shows 41% higher spend per visit. The Statistician's model confirms that proximity to major cruise terminals (PortMiami, Port Everglades) correlates with a 27% sales uplift during peak season.</w:t>
      </w:r>
    </w:p>
    <w:p>
      <w:pPr>
        <w:numPr>
          <w:ilvl w:val="0"/>
          <w:numId w:val="1001"/>
        </w:numPr>
        <w:pStyle w:val="Compact"/>
      </w:pPr>
      <w:r>
        <w:rPr>
          <w:bCs/>
          <w:b/>
        </w:rPr>
        <w:t xml:space="preserve">Young Urban Professionals (20% of sales):</w:t>
      </w:r>
      <w:r>
        <w:t xml:space="preserve"> </w:t>
      </w:r>
      <w:r>
        <w:t xml:space="preserve">This segment exhibits the highest mobile app engagement (+58% YoY), but suffers from 19% cart abandonment. The Sales Report recommends targeted push notifications for this group, which our statistical modeling predicts could recover $427K in annual lost revenue.</w:t>
      </w:r>
    </w:p>
    <w:bookmarkEnd w:id="23"/>
    <w:bookmarkStart w:id="24" w:name="X94215da99b9989bb71f23e38bd45eaadf6727c5"/>
    <w:p>
      <w:pPr>
        <w:pStyle w:val="Heading2"/>
      </w:pPr>
      <w:r>
        <w:t xml:space="preserve">Geospatial Analysis: Miami's Neighborhood Performance</w:t>
      </w:r>
    </w:p>
    <w:p>
      <w:pPr>
        <w:pStyle w:val="FirstParagraph"/>
      </w:pPr>
      <w:r>
        <w:t xml:space="preserve">The most compelling insight from this Statistician's work emerges from the geospatial heatmap analysis. Unlike other United States markets where performance plateaus after downtown, Miami demonstrates a distinct pattern:</w:t>
      </w:r>
    </w:p>
    <w:p>
      <w:pPr>
        <w:numPr>
          <w:ilvl w:val="0"/>
          <w:numId w:val="1002"/>
        </w:numPr>
        <w:pStyle w:val="Compact"/>
      </w:pPr>
      <w:r>
        <w:rPr>
          <w:bCs/>
          <w:b/>
        </w:rPr>
        <w:t xml:space="preserve">Wynwood &amp; Design District:</w:t>
      </w:r>
      <w:r>
        <w:t xml:space="preserve"> </w:t>
      </w:r>
      <w:r>
        <w:t xml:space="preserve">34% above city average sales density (driven by art tourism and luxury boutiques)</w:t>
      </w:r>
    </w:p>
    <w:p>
      <w:pPr>
        <w:numPr>
          <w:ilvl w:val="0"/>
          <w:numId w:val="1002"/>
        </w:numPr>
        <w:pStyle w:val="Compact"/>
      </w:pPr>
      <w:r>
        <w:rPr>
          <w:bCs/>
          <w:b/>
        </w:rPr>
        <w:t xml:space="preserve">Little Havana:</w:t>
      </w:r>
      <w:r>
        <w:t xml:space="preserve"> </w:t>
      </w:r>
      <w:r>
        <w:t xml:space="preserve">22% higher repeat customer rate but 18% lower average transaction value – indicating untapped premiumization potential</w:t>
      </w:r>
    </w:p>
    <w:p>
      <w:pPr>
        <w:numPr>
          <w:ilvl w:val="0"/>
          <w:numId w:val="1002"/>
        </w:numPr>
        <w:pStyle w:val="Compact"/>
      </w:pPr>
      <w:r>
        <w:rPr>
          <w:bCs/>
          <w:b/>
        </w:rPr>
        <w:t xml:space="preserve">South Beach:</w:t>
      </w:r>
      <w:r>
        <w:t xml:space="preserve"> </w:t>
      </w:r>
      <w:r>
        <w:t xml:space="preserve">Seasonal volatility (57% sales variance between summer/winter) requiring dynamic staffing models</w:t>
      </w:r>
    </w:p>
    <w:p>
      <w:pPr>
        <w:pStyle w:val="FirstParagraph"/>
      </w:pPr>
      <w:r>
        <w:t xml:space="preserve">The Sales Report concludes that reallocating 12.3% of marketing budget to Wynwood's cultural events and implementing targeted premium product bundles in Little Havana could generate $2.8M incremental annual revenue.</w:t>
      </w:r>
    </w:p>
    <w:bookmarkEnd w:id="24"/>
    <w:bookmarkStart w:id="25" w:name="X5e2bcd1a1b9488f9b7a81b7a42acb1bdca968e8"/>
    <w:p>
      <w:pPr>
        <w:pStyle w:val="Heading2"/>
      </w:pPr>
      <w:r>
        <w:t xml:space="preserve">Competitive Intelligence: Miami-Specific Benchmarks</w:t>
      </w:r>
    </w:p>
    <w:p>
      <w:pPr>
        <w:pStyle w:val="FirstParagraph"/>
      </w:pPr>
      <w:r>
        <w:t xml:space="preserve">Through statistical comparison with 17 regional competitors, this Sales Report identifies Miami-specific competitive advantages:</w:t>
      </w:r>
    </w:p>
    <w:p>
      <w:pPr>
        <w:pStyle w:val="BlockText"/>
      </w:pPr>
      <w:r>
        <w:t xml:space="preserve">"Miami's unique position as a global hub for Latin American business creates a market where 63% of our competitors' marketing fails to address cultural nuances. Our Statistician's analysis shows that campaigns incorporating Spanish-language content and culturally relevant imagery achieve 2.1x higher engagement than generic national approaches in the United States Miami market."</w:t>
      </w:r>
    </w:p>
    <w:bookmarkEnd w:id="25"/>
    <w:bookmarkStart w:id="26" w:name="strategic-recommendations"/>
    <w:p>
      <w:pPr>
        <w:pStyle w:val="Heading2"/>
      </w:pPr>
      <w:r>
        <w:t xml:space="preserve">Strategic Recommendations</w:t>
      </w:r>
    </w:p>
    <w:p>
      <w:pPr>
        <w:pStyle w:val="FirstParagraph"/>
      </w:pPr>
      <w:r>
        <w:t xml:space="preserve">Based on this comprehensive statistical analysis, I propose three data-backed initiatives for the United States Miami operations:</w:t>
      </w:r>
    </w:p>
    <w:p>
      <w:pPr>
        <w:numPr>
          <w:ilvl w:val="0"/>
          <w:numId w:val="1003"/>
        </w:numPr>
        <w:pStyle w:val="Compact"/>
      </w:pPr>
      <w:r>
        <w:rPr>
          <w:bCs/>
          <w:b/>
        </w:rPr>
        <w:t xml:space="preserve">Cultural Localization Program:</w:t>
      </w:r>
      <w:r>
        <w:t xml:space="preserve"> </w:t>
      </w:r>
      <w:r>
        <w:t xml:space="preserve">Implement region-specific marketing assets in 87% of Miami locations within Q1 2025. Statistical modeling predicts $1.9M additional revenue from this initiative alone.</w:t>
      </w:r>
    </w:p>
    <w:p>
      <w:pPr>
        <w:numPr>
          <w:ilvl w:val="0"/>
          <w:numId w:val="1003"/>
        </w:numPr>
        <w:pStyle w:val="Compact"/>
      </w:pPr>
      <w:r>
        <w:rPr>
          <w:bCs/>
          <w:b/>
        </w:rPr>
        <w:t xml:space="preserve">Dynamic Inventory System:</w:t>
      </w:r>
      <w:r>
        <w:t xml:space="preserve"> </w:t>
      </w:r>
      <w:r>
        <w:t xml:space="preserve">Deploy AI-driven stock allocation based on real-time tourist arrival data (from airports and cruise ports). This would reduce out-of-stock incidents by 34% during peak seasons, directly addressing the Sales Report's findings about seasonal volatility.</w:t>
      </w:r>
    </w:p>
    <w:p>
      <w:pPr>
        <w:numPr>
          <w:ilvl w:val="0"/>
          <w:numId w:val="1003"/>
        </w:numPr>
        <w:pStyle w:val="Compact"/>
      </w:pPr>
      <w:r>
        <w:rPr>
          <w:bCs/>
          <w:b/>
        </w:rPr>
        <w:t xml:space="preserve">Neighborhood Performance Pods:</w:t>
      </w:r>
      <w:r>
        <w:t xml:space="preserve"> </w:t>
      </w:r>
      <w:r>
        <w:t xml:space="preserve">Establish dedicated sales teams for Wynwood, Little Havana and South Beach with KPIs calibrated to each area's statistical profile. This structure aligns with our Miami-specific data showing 28% higher team productivity in geographically focused units.</w:t>
      </w:r>
    </w:p>
    <w:bookmarkEnd w:id="26"/>
    <w:bookmarkStart w:id="27" w:name="X35a05c1a470dfa46b47ef6d77f48a1df8d15477"/>
    <w:p>
      <w:pPr>
        <w:pStyle w:val="Heading2"/>
      </w:pPr>
      <w:r>
        <w:t xml:space="preserve">Conclusion: The Statistician's Value Proposition</w:t>
      </w:r>
    </w:p>
    <w:p>
      <w:pPr>
        <w:pStyle w:val="FirstParagraph"/>
      </w:pPr>
      <w:r>
        <w:t xml:space="preserve">This Sales Report transcends traditional analytics by delivering Miami-specific, statistically validated action points. As the Statistician responsible for this analysis, I confirm that our Miami operations are not merely meeting but exceeding regional benchmarks – a fact directly attributable to our data-driven approach. The United States Miami market represents a $287M annual opportunity that demands precise statistical understanding rather than generic national strategies. Investing in continued statistical optimization within this market will generate an estimated 19.3% ROI within the first year of implementing these recommendations.</w:t>
      </w:r>
    </w:p>
    <w:p>
      <w:pPr>
        <w:pStyle w:val="BodyText"/>
      </w:pPr>
      <w:r>
        <w:t xml:space="preserve">For leadership, this Sales Report is not just data – it's a strategic roadmap uniquely calibrated for United States Miami's economic ecosystem. The Statistician's role in transforming raw numbers into actionable growth pathways has been unequivocally demonstrated through this analysis. I stand ready to implement these recommendations and will provide monthly statistical performance updates to ensure continuous optimization of our Miami market presence.</w:t>
      </w:r>
    </w:p>
    <w:p>
      <w:pPr>
        <w:pStyle w:val="BodyText"/>
      </w:pPr>
      <w:r>
        <w:rPr>
          <w:bCs/>
          <w:b/>
        </w:rPr>
        <w:t xml:space="preserve">Prepared by:</w:t>
      </w:r>
      <w:r>
        <w:t xml:space="preserve"> </w:t>
      </w:r>
      <w:r>
        <w:t xml:space="preserve">Alex Rivera, Senior Statistician</w:t>
      </w:r>
      <w:r>
        <w:br/>
      </w:r>
      <w:r>
        <w:rPr>
          <w:bCs/>
          <w:b/>
        </w:rPr>
        <w:t xml:space="preserve">Date:</w:t>
      </w:r>
      <w:r>
        <w:t xml:space="preserve"> </w:t>
      </w:r>
      <w:r>
        <w:t xml:space="preserve">October 26, 2024</w:t>
      </w:r>
      <w:r>
        <w:br/>
      </w:r>
      <w:r>
        <w:rPr>
          <w:bCs/>
          <w:b/>
        </w:rPr>
        <w:t xml:space="preserve">Report Scope:</w:t>
      </w:r>
      <w:r>
        <w:t xml:space="preserve"> </w:t>
      </w:r>
      <w:r>
        <w:t xml:space="preserve">United States Miami Metropolitan Statistical Area (MSA)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Analysis: Statistician Report for United States Miami Market</dc:title>
  <dc:creator/>
  <dc:language>en</dc:language>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