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Melbourne</w:t>
      </w:r>
      <w:r>
        <w:t xml:space="preserve"> </w:t>
      </w:r>
      <w:r>
        <w:t xml:space="preserve">Healthcare</w:t>
      </w:r>
      <w:r>
        <w:t xml:space="preserve"> </w:t>
      </w:r>
      <w:r>
        <w:t xml:space="preserve">Providers</w:t>
      </w:r>
    </w:p>
    <w:bookmarkStart w:id="31" w:name="X2b9a66e021dcaa685540e321d87174983152d10"/>
    <w:p>
      <w:pPr>
        <w:pStyle w:val="Heading1"/>
      </w:pPr>
      <w:r>
        <w:t xml:space="preserve">Comprehensive Sales Report: Advanced Surgical Solutions for Australia Melbourne Healthcare Facilities</w:t>
      </w:r>
    </w:p>
    <w:p>
      <w:pPr>
        <w:pStyle w:val="FirstParagraph"/>
      </w:pPr>
      <w:r>
        <w:rPr>
          <w:bCs/>
          <w:b/>
        </w:rPr>
        <w:t xml:space="preserve">Prepared For:</w:t>
      </w:r>
      <w:r>
        <w:t xml:space="preserve"> </w:t>
      </w:r>
      <w:r>
        <w:t xml:space="preserve">Executive Leadership, Australia Melbourne Regional Operations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premium surgical equipment and digital workflow solutions within the Australia Melbourne healthcare ecosystem. Serving over 45 hospitals, private clinics, and research institutions across Melbourne and its metropolitan region, our division achieved a 18.7% year-over-year revenue growth during Q3 2023. This success directly supports the operational needs of</w:t>
      </w:r>
      <w:r>
        <w:t xml:space="preserve"> </w:t>
      </w:r>
      <w:r>
        <w:rPr>
          <w:bCs/>
          <w:b/>
        </w:rPr>
        <w:t xml:space="preserve">Surgeon</w:t>
      </w:r>
      <w:r>
        <w:t xml:space="preserve"> </w:t>
      </w:r>
      <w:r>
        <w:t xml:space="preserve">teams navigating Australia's evolving healthcare landscape. The report underscores strategic wins in key surgical specialties, customer retention rates, and opportunities to further empower Melbourne's medical professionals through our technology suite.</w:t>
      </w:r>
    </w:p>
    <w:bookmarkEnd w:id="20"/>
    <w:bookmarkStart w:id="21" w:name="X7f6b5137533506d11e1eac63ee9d85f6c25309a"/>
    <w:p>
      <w:pPr>
        <w:pStyle w:val="Heading2"/>
      </w:pPr>
      <w:r>
        <w:t xml:space="preserve">Market Context: Australia Melbourne Surgical Landscape</w:t>
      </w:r>
    </w:p>
    <w:p>
      <w:pPr>
        <w:pStyle w:val="FirstParagraph"/>
      </w:pPr>
      <w:r>
        <w:t xml:space="preserve">Melbourne remains the epicenter of advanced surgical care in Australia, housing 68% of the nation's major teaching hospitals including The Royal Melbourne Hospital, Peter MacCallum Cancer Centre, and Monash Medical Centre. With a growing population exceeding 5.2 million residents and an aging demographic driving increased demand for orthopedic, cardiovascular, and minimally invasive procedures, the need for reliable surgical technology is paramount. Our Sales Report confirms that</w:t>
      </w:r>
      <w:r>
        <w:t xml:space="preserve"> </w:t>
      </w:r>
      <w:r>
        <w:rPr>
          <w:bCs/>
          <w:b/>
        </w:rPr>
        <w:t xml:space="preserve">Surgeon</w:t>
      </w:r>
      <w:r>
        <w:t xml:space="preserve"> </w:t>
      </w:r>
      <w:r>
        <w:t xml:space="preserve">adoption of integrated surgical platforms has risen by 31% in Melbourne this year due to enhanced patient outcomes and streamlined workflows – a critical factor in Australia's competitive healthcare sector.</w:t>
      </w:r>
    </w:p>
    <w:bookmarkEnd w:id="21"/>
    <w:bookmarkStart w:id="22" w:name="q3-sales-performance-highlights"/>
    <w:p>
      <w:pPr>
        <w:pStyle w:val="Heading2"/>
      </w:pPr>
      <w:r>
        <w:t xml:space="preserve">Q3 Sales Performance Highlights</w:t>
      </w:r>
    </w:p>
    <w:p>
      <w:pPr>
        <w:numPr>
          <w:ilvl w:val="0"/>
          <w:numId w:val="1001"/>
        </w:numPr>
        <w:pStyle w:val="Compact"/>
      </w:pPr>
      <w:r>
        <w:rPr>
          <w:bCs/>
          <w:b/>
        </w:rPr>
        <w:t xml:space="preserve">Revenue Growth:</w:t>
      </w:r>
      <w:r>
        <w:t xml:space="preserve"> </w:t>
      </w:r>
      <w:r>
        <w:t xml:space="preserve">$4.87M (vs. $4.10M Q3 2022), driven by a 56% increase in digital surgical navigation system sales.</w:t>
      </w:r>
    </w:p>
    <w:p>
      <w:pPr>
        <w:numPr>
          <w:ilvl w:val="0"/>
          <w:numId w:val="1001"/>
        </w:numPr>
        <w:pStyle w:val="Compact"/>
      </w:pPr>
      <w:r>
        <w:rPr>
          <w:bCs/>
          <w:b/>
        </w:rPr>
        <w:t xml:space="preserve">New Client Acquisition:</w:t>
      </w:r>
      <w:r>
        <w:t xml:space="preserve"> </w:t>
      </w:r>
      <w:r>
        <w:t xml:space="preserve">Secured contracts with 12 major Melbourne private hospitals, including a landmark $850K deal with St. Vincent's Private Hospital for robotic-assisted surgery suites.</w:t>
      </w:r>
    </w:p>
    <w:p>
      <w:pPr>
        <w:numPr>
          <w:ilvl w:val="0"/>
          <w:numId w:val="1001"/>
        </w:numPr>
        <w:pStyle w:val="Compact"/>
      </w:pPr>
      <w:r>
        <w:rPr>
          <w:bCs/>
          <w:b/>
        </w:rPr>
        <w:t xml:space="preserve">Customer Retention:</w:t>
      </w:r>
      <w:r>
        <w:t xml:space="preserve"> </w:t>
      </w:r>
      <w:r>
        <w:t xml:space="preserve">92% of existing Melbourne surgical facilities renewed contracts, reflecting exceptional satisfaction with our surgeon-centric support model.</w:t>
      </w:r>
    </w:p>
    <w:p>
      <w:pPr>
        <w:numPr>
          <w:ilvl w:val="0"/>
          <w:numId w:val="1001"/>
        </w:numPr>
        <w:pStyle w:val="Compact"/>
      </w:pPr>
      <w:r>
        <w:rPr>
          <w:bCs/>
          <w:b/>
        </w:rPr>
        <w:t xml:space="preserve">Key Product Focus:</w:t>
      </w:r>
      <w:r>
        <w:t xml:space="preserve"> </w:t>
      </w:r>
      <w:r>
        <w:t xml:space="preserve">AI-powered surgical planning software saw a 73% sales surge, directly addressing the needs of Melbourne's leading</w:t>
      </w:r>
      <w:r>
        <w:t xml:space="preserve"> </w:t>
      </w:r>
      <w:r>
        <w:rPr>
          <w:bCs/>
          <w:b/>
        </w:rPr>
        <w:t xml:space="preserve">Surgeon</w:t>
      </w:r>
      <w:r>
        <w:t xml:space="preserve">s for preoperative precision.</w:t>
      </w:r>
    </w:p>
    <w:bookmarkEnd w:id="22"/>
    <w:bookmarkStart w:id="26" w:name="Xe360ec7c9377d5812387662575496bea51b409a"/>
    <w:p>
      <w:pPr>
        <w:pStyle w:val="Heading2"/>
      </w:pPr>
      <w:r>
        <w:t xml:space="preserve">Detailed Regional Breakdown: Australia Melbourne Performance</w:t>
      </w:r>
    </w:p>
    <w:p>
      <w:pPr>
        <w:pStyle w:val="FirstParagraph"/>
      </w:pPr>
      <w:r>
        <w:t xml:space="preserve">The Australia Melbourne market demonstrated exceptional growth in three critical segments:</w:t>
      </w:r>
    </w:p>
    <w:bookmarkStart w:id="23" w:name="minimally-invasive-surgery-mis-equipment"/>
    <w:p>
      <w:pPr>
        <w:pStyle w:val="Heading3"/>
      </w:pPr>
      <w:r>
        <w:t xml:space="preserve">1. Minimally Invasive Surgery (MIS) Equipment</w:t>
      </w:r>
    </w:p>
    <w:p>
      <w:pPr>
        <w:pStyle w:val="FirstParagraph"/>
      </w:pPr>
      <w:r>
        <w:t xml:space="preserve">Revenue increased by 24.5%, fueled by demand for our "Aurora" MIS systems at Royal Melbourne Hospital and Western Health. Surgeons reported a 37% reduction in procedure times during trials, directly improving capacity for Melbourne's high-volume surgical centers. This segment represents the most significant growth area for our</w:t>
      </w:r>
      <w:r>
        <w:t xml:space="preserve"> </w:t>
      </w:r>
      <w:r>
        <w:rPr>
          <w:bCs/>
          <w:b/>
        </w:rPr>
        <w:t xml:space="preserve">Surgeon</w:t>
      </w:r>
      <w:r>
        <w:t xml:space="preserve"> </w:t>
      </w:r>
      <w:r>
        <w:t xml:space="preserve">partnerships in Australia.</w:t>
      </w:r>
    </w:p>
    <w:bookmarkEnd w:id="23"/>
    <w:bookmarkStart w:id="24" w:name="digital-surgical-workflows-training"/>
    <w:p>
      <w:pPr>
        <w:pStyle w:val="Heading3"/>
      </w:pPr>
      <w:r>
        <w:t xml:space="preserve">2. Digital Surgical Workflows &amp; Training</w:t>
      </w:r>
    </w:p>
    <w:p>
      <w:pPr>
        <w:pStyle w:val="FirstParagraph"/>
      </w:pPr>
      <w:r>
        <w:t xml:space="preserve">The integration of our cloud-based surgical simulation platform into 8 Melbourne medical schools (including University of Melbourne and Monash) has become a strategic differentiator. Surgeons using this tool demonstrated 40% faster proficiency in complex laparoscopic techniques, leading to a 29% increase in associated sales. This solution directly addresses Australia's national focus on surgical education reform.</w:t>
      </w:r>
    </w:p>
    <w:bookmarkEnd w:id="24"/>
    <w:bookmarkStart w:id="25" w:name="emergency-trauma-surgical-systems"/>
    <w:p>
      <w:pPr>
        <w:pStyle w:val="Heading3"/>
      </w:pPr>
      <w:r>
        <w:t xml:space="preserve">3. Emergency &amp; Trauma Surgical Systems</w:t>
      </w:r>
    </w:p>
    <w:p>
      <w:pPr>
        <w:pStyle w:val="FirstParagraph"/>
      </w:pPr>
      <w:r>
        <w:t xml:space="preserve">With Melbourne experiencing a 15% rise in trauma cases (per Victoria Police data), our portable field surgical units secured contracts with 5 metropolitan ambulance services and the Royal Children's Hospital. Surgeons praised the "rapid deployment" feature during critical incident response, positioning us as essential partners for Australia's emergency care infrastructure.</w:t>
      </w:r>
    </w:p>
    <w:bookmarkEnd w:id="25"/>
    <w:bookmarkEnd w:id="26"/>
    <w:bookmarkStart w:id="27" w:name="Xb8a6810e7bf0d7cb94e2d0f8ab24d24131941f3"/>
    <w:p>
      <w:pPr>
        <w:pStyle w:val="Heading2"/>
      </w:pPr>
      <w:r>
        <w:t xml:space="preserve">Customer Feedback: The Surgeon Perspective</w:t>
      </w:r>
    </w:p>
    <w:p>
      <w:pPr>
        <w:pStyle w:val="FirstParagraph"/>
      </w:pPr>
      <w:r>
        <w:t xml:space="preserve">Direct input from Melbourne-based surgeons validates our market strategy. In our quarterly satisfaction survey (N=187), 94% of respondents stated:</w:t>
      </w:r>
    </w:p>
    <w:p>
      <w:pPr>
        <w:numPr>
          <w:ilvl w:val="0"/>
          <w:numId w:val="1002"/>
        </w:numPr>
        <w:pStyle w:val="Compact"/>
      </w:pPr>
      <w:r>
        <w:t xml:space="preserve">"This technology reduces my pre-operative planning time by over 50%, allowing more focused patient care."</w:t>
      </w:r>
    </w:p>
    <w:p>
      <w:pPr>
        <w:numPr>
          <w:ilvl w:val="0"/>
          <w:numId w:val="1002"/>
        </w:numPr>
        <w:pStyle w:val="Compact"/>
      </w:pPr>
      <w:r>
        <w:t xml:space="preserve">"The seamless integration with Melbourne Health's existing EHR system has eliminated workflow disruptions."</w:t>
      </w:r>
    </w:p>
    <w:p>
      <w:pPr>
        <w:numPr>
          <w:ilvl w:val="0"/>
          <w:numId w:val="1002"/>
        </w:numPr>
        <w:pStyle w:val="Compact"/>
      </w:pPr>
      <w:r>
        <w:t xml:space="preserve">"Training support from your clinical specialists accelerated our team's adoption of new procedures."</w:t>
      </w:r>
    </w:p>
    <w:p>
      <w:pPr>
        <w:pStyle w:val="FirstParagraph"/>
      </w:pPr>
      <w:r>
        <w:t xml:space="preserve">As Dr. Elena Petrova, Chief Orthopedic Surgeon at The Alfred Hospital, noted: "This isn't just equipment – it's a partnership that directly supports our mission to deliver world-class care in Australia Melbourne. Every surgeon in our department uses the platform daily."</w:t>
      </w:r>
    </w:p>
    <w:bookmarkEnd w:id="27"/>
    <w:bookmarkStart w:id="28" w:name="challenges-strategic-opportunities"/>
    <w:p>
      <w:pPr>
        <w:pStyle w:val="Heading2"/>
      </w:pPr>
      <w:r>
        <w:t xml:space="preserve">Challenges &amp; Strategic Opportunities</w:t>
      </w:r>
    </w:p>
    <w:p>
      <w:pPr>
        <w:pStyle w:val="FirstParagraph"/>
      </w:pPr>
      <w:r>
        <w:t xml:space="preserve">Despite strong growth, two challenges require strategic attention:</w:t>
      </w:r>
    </w:p>
    <w:p>
      <w:pPr>
        <w:numPr>
          <w:ilvl w:val="0"/>
          <w:numId w:val="1003"/>
        </w:numPr>
        <w:pStyle w:val="Compact"/>
      </w:pPr>
      <w:r>
        <w:rPr>
          <w:bCs/>
          <w:b/>
        </w:rPr>
        <w:t xml:space="preserve">TGA Compliance Costs:</w:t>
      </w:r>
      <w:r>
        <w:t xml:space="preserve"> </w:t>
      </w:r>
      <w:r>
        <w:t xml:space="preserve">The 2023 TGA regulatory updates increased certification timelines for new devices. We are addressing this through dedicated Melbourne compliance officers working directly with our engineering team.</w:t>
      </w:r>
    </w:p>
    <w:p>
      <w:pPr>
        <w:numPr>
          <w:ilvl w:val="0"/>
          <w:numId w:val="1003"/>
        </w:numPr>
        <w:pStyle w:val="Compact"/>
      </w:pPr>
      <w:r>
        <w:rPr>
          <w:bCs/>
          <w:b/>
        </w:rPr>
        <w:t xml:space="preserve">Regional Disparities:</w:t>
      </w:r>
      <w:r>
        <w:t xml:space="preserve"> </w:t>
      </w:r>
      <w:r>
        <w:t xml:space="preserve">While metropolitan Melbourne excels, rural hospitals (e.g., Shepparton, Bendigo) show slower adoption due to connectivity limitations. Our upcoming low-bandwidth surgical software update will target this gap.</w:t>
      </w:r>
    </w:p>
    <w:p>
      <w:pPr>
        <w:pStyle w:val="FirstParagraph"/>
      </w:pPr>
      <w:r>
        <w:t xml:space="preserve">Opportunities for Q4 2023 include:</w:t>
      </w:r>
    </w:p>
    <w:p>
      <w:pPr>
        <w:numPr>
          <w:ilvl w:val="0"/>
          <w:numId w:val="1004"/>
        </w:numPr>
        <w:pStyle w:val="Compact"/>
      </w:pPr>
      <w:r>
        <w:t xml:space="preserve">Expanding our partnership with the Australian Orthopaedic Association for Melbourne-based surgeon training events.</w:t>
      </w:r>
    </w:p>
    <w:p>
      <w:pPr>
        <w:numPr>
          <w:ilvl w:val="0"/>
          <w:numId w:val="1004"/>
        </w:numPr>
        <w:pStyle w:val="Compact"/>
      </w:pPr>
      <w:r>
        <w:t xml:space="preserve">Leveraging Melbourne's status as a hub for medical AI startups to co-develop next-generation surgical analytics tools.</w:t>
      </w:r>
    </w:p>
    <w:p>
      <w:pPr>
        <w:numPr>
          <w:ilvl w:val="0"/>
          <w:numId w:val="1004"/>
        </w:numPr>
        <w:pStyle w:val="Compact"/>
      </w:pPr>
      <w:r>
        <w:t xml:space="preserve">Capitalizing on the $1.2B Victorian Government investment in "Future Surgical Centers" across metropolitan hospitals.</w:t>
      </w:r>
    </w:p>
    <w:bookmarkEnd w:id="28"/>
    <w:bookmarkStart w:id="29" w:name="X0ec5555a45a442f7bb77725f124672979a79765"/>
    <w:p>
      <w:pPr>
        <w:pStyle w:val="Heading2"/>
      </w:pPr>
      <w:r>
        <w:t xml:space="preserve">Conclusion: Powering Australia Melbourne's Surgical Future</w:t>
      </w:r>
    </w:p>
    <w:p>
      <w:pPr>
        <w:pStyle w:val="FirstParagraph"/>
      </w:pPr>
      <w:r>
        <w:t xml:space="preserve">This Sales Report confirms that our surgical technology solutions are not merely products – they are essential enablers for Melbourne's healthcare ecosystem. The 18.7% growth in Q3 is a direct testament to how well our offerings align with the needs of</w:t>
      </w:r>
      <w:r>
        <w:t xml:space="preserve"> </w:t>
      </w:r>
      <w:r>
        <w:rPr>
          <w:bCs/>
          <w:b/>
        </w:rPr>
        <w:t xml:space="preserve">Surgeon</w:t>
      </w:r>
      <w:r>
        <w:t xml:space="preserve"> </w:t>
      </w:r>
      <w:r>
        <w:t xml:space="preserve">teams across Australia Melbourne. As the population ages and surgical complexity increases, our commitment to delivering surgeon-focused innovation will remain central to our strategy.</w:t>
      </w:r>
    </w:p>
    <w:p>
      <w:pPr>
        <w:pStyle w:val="BodyText"/>
      </w:pPr>
      <w:r>
        <w:t xml:space="preserve">We project continued momentum into 2024, particularly through partnerships with Melbourne's emerging medical research clusters. Our success in this critical market positions us as the preferred technology partner for every</w:t>
      </w:r>
      <w:r>
        <w:t xml:space="preserve"> </w:t>
      </w:r>
      <w:r>
        <w:rPr>
          <w:bCs/>
          <w:b/>
        </w:rPr>
        <w:t xml:space="preserve">Surgeon</w:t>
      </w:r>
      <w:r>
        <w:t xml:space="preserve"> </w:t>
      </w:r>
      <w:r>
        <w:t xml:space="preserve">dedicated to advancing patient outcomes across Australia. This Sales Report underscores a clear path: by investing in solutions that empower the surgeon, we strengthen Australia's entire healthcare network.</w:t>
      </w:r>
    </w:p>
    <w:bookmarkEnd w:id="29"/>
    <w:bookmarkStart w:id="30" w:name="Xdc1cce99587f1cbd04339e5bfb7fb3009121cb6"/>
    <w:p>
      <w:pPr>
        <w:pStyle w:val="Heading2"/>
      </w:pPr>
      <w:r>
        <w:t xml:space="preserve">Appendix: Key Metrics - Australia Melbourne Operations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Growth vs. Q3 2022</w:t>
            </w:r>
          </w:p>
        </w:tc>
      </w:tr>
      <w:tr>
        <w:tc>
          <w:tcPr/>
          <w:p>
            <w:pPr>
              <w:pStyle w:val="Compact"/>
              <w:jc w:val="left"/>
            </w:pPr>
            <w:r>
              <w:t xml:space="preserve">Total Revenue (AUD)</w:t>
            </w:r>
          </w:p>
        </w:tc>
        <w:tc>
          <w:tcPr/>
          <w:p>
            <w:pPr>
              <w:pStyle w:val="Compact"/>
              <w:jc w:val="left"/>
            </w:pPr>
            <w:r>
              <w:t xml:space="preserve">$4,870,000</w:t>
            </w:r>
          </w:p>
        </w:tc>
        <w:tc>
          <w:tcPr/>
          <w:p>
            <w:pPr>
              <w:pStyle w:val="Compact"/>
              <w:jc w:val="left"/>
            </w:pPr>
            <w:r>
              <w:t xml:space="preserve">+18.7%</w:t>
            </w:r>
          </w:p>
        </w:tc>
      </w:tr>
      <w:tr>
        <w:tc>
          <w:tcPr/>
          <w:p>
            <w:pPr>
              <w:pStyle w:val="Compact"/>
              <w:jc w:val="left"/>
            </w:pPr>
            <w:r>
              <w:t xml:space="preserve">New Hospital Contracts Secured</w:t>
            </w:r>
          </w:p>
        </w:tc>
        <w:tc>
          <w:tcPr/>
          <w:p>
            <w:pPr>
              <w:pStyle w:val="Compact"/>
              <w:jc w:val="left"/>
            </w:pPr>
            <w:r>
              <w:t xml:space="preserve">12</w:t>
            </w:r>
          </w:p>
        </w:tc>
        <w:tc>
          <w:tcPr/>
          <w:p>
            <w:pPr>
              <w:pStyle w:val="Compact"/>
              <w:jc w:val="left"/>
            </w:pPr>
            <w:r>
              <w:t xml:space="preserve">+35%</w:t>
            </w:r>
          </w:p>
        </w:tc>
      </w:tr>
      <w:tr>
        <w:tc>
          <w:tcPr/>
          <w:p>
            <w:pPr>
              <w:pStyle w:val="Compact"/>
              <w:jc w:val="left"/>
            </w:pPr>
            <w:r>
              <w:t xml:space="preserve">Surgeon End-User Satisfaction (Net Promoter Score)</w:t>
            </w:r>
          </w:p>
        </w:tc>
        <w:tc>
          <w:tcPr/>
          <w:p>
            <w:pPr>
              <w:pStyle w:val="Compact"/>
              <w:jc w:val="left"/>
            </w:pPr>
            <w:r>
              <w:t xml:space="preserve">89/100</w:t>
            </w:r>
          </w:p>
        </w:tc>
        <w:tc>
          <w:tcPr/>
          <w:p>
            <w:pPr>
              <w:pStyle w:val="Compact"/>
              <w:jc w:val="left"/>
            </w:pPr>
            <w:r>
              <w:t xml:space="preserve">+22 points</w:t>
            </w:r>
          </w:p>
        </w:tc>
      </w:tr>
      <w:tr>
        <w:tc>
          <w:tcPr/>
          <w:p>
            <w:pPr>
              <w:pStyle w:val="Compact"/>
              <w:jc w:val="left"/>
            </w:pPr>
            <w:r>
              <w:t xml:space="preserve">Melbourne Market Share (Surgical Tech)</w:t>
            </w:r>
          </w:p>
        </w:tc>
        <w:tc>
          <w:tcPr/>
          <w:p>
            <w:pPr>
              <w:pStyle w:val="Compact"/>
              <w:jc w:val="left"/>
            </w:pPr>
            <w:r>
              <w:t xml:space="preserve">27.3%</w:t>
            </w:r>
          </w:p>
        </w:tc>
        <w:tc>
          <w:tcPr/>
          <w:p>
            <w:pPr>
              <w:pStyle w:val="Compact"/>
              <w:jc w:val="left"/>
            </w:pPr>
            <w:r>
              <w:t xml:space="preserve">+4.1% points</w:t>
            </w:r>
          </w:p>
        </w:tc>
      </w:tr>
    </w:tbl>
    <w:p>
      <w:pPr>
        <w:pStyle w:val="BodyText"/>
      </w:pPr>
      <w:r>
        <w:rPr>
          <w:bCs/>
          <w:b/>
        </w:rPr>
        <w:t xml:space="preserve">Prepared By:</w:t>
      </w:r>
      <w:r>
        <w:t xml:space="preserve"> </w:t>
      </w:r>
      <w:r>
        <w:t xml:space="preserve">Regional Sales Strategy Team, Australia Melbourne Division</w:t>
      </w:r>
      <w:r>
        <w:br/>
      </w:r>
      <w:r>
        <w:rPr>
          <w:bCs/>
          <w:b/>
        </w:rPr>
        <w:t xml:space="preserve">Confidentiality:</w:t>
      </w:r>
      <w:r>
        <w:t xml:space="preserve"> </w:t>
      </w:r>
      <w:r>
        <w:t xml:space="preserve">This document contains proprietary information of Surgical Innovations Pty Ltd and is intended solely for internal use by authorized personnel in the Australia Melbourne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Solutions for Melbourne Healthcare Providers</dc:title>
  <dc:creator/>
  <dc:language>en</dc:language>
  <cp:keywords/>
  <dcterms:created xsi:type="dcterms:W3CDTF">2026-07-23T03:39:14Z</dcterms:created>
  <dcterms:modified xsi:type="dcterms:W3CDTF">2026-07-23T03:39:14Z</dcterms:modified>
</cp:coreProperties>
</file>

<file path=docProps/custom.xml><?xml version="1.0" encoding="utf-8"?>
<Properties xmlns="http://schemas.openxmlformats.org/officeDocument/2006/custom-properties" xmlns:vt="http://schemas.openxmlformats.org/officeDocument/2006/docPropsVTypes"/>
</file>