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Technology</w:t>
      </w:r>
      <w:r>
        <w:t xml:space="preserve"> </w:t>
      </w:r>
      <w:r>
        <w:t xml:space="preserve">Solutions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7" w:name="X7d4733c9b6e4e57263fa363ffcdc10c4c98948e"/>
    <w:p>
      <w:pPr>
        <w:pStyle w:val="Heading1"/>
      </w:pPr>
      <w:r>
        <w:t xml:space="preserve">Annual Sales Report: Surgeon Technology Solutions (STS) - Canada Vancouver Market Performance 2023-2024</w:t>
      </w:r>
    </w:p>
    <w:bookmarkStart w:id="20" w:name="executive-summary"/>
    <w:p>
      <w:pPr>
        <w:pStyle w:val="Heading2"/>
      </w:pPr>
      <w:r>
        <w:t xml:space="preserve">Executive Summary</w:t>
      </w:r>
    </w:p>
    <w:p>
      <w:pPr>
        <w:pStyle w:val="FirstParagraph"/>
      </w:pPr>
      <w:r>
        <w:t xml:space="preserve">This comprehensive Sales Report details the performance of Surgeon Technology Solutions (STS), a leading provider of advanced surgical navigation systems, across the Canada Vancouver healthcare ecosystem during fiscal year 2023-2024. Positioned as an innovator in precision surgical technology, STS achieved remarkable growth in Vancouver, solidifying its reputation as a critical partner for premier medical institutions. This report confirms that the strategic focus on integrating "Surgeon" solutions into complex surgical workflows has driven a 34% year-over-year sales increase within the Canada Vancouver region, outpacing national averages by 18%. The success underscores Vancouver's pivotal role as a healthcare innovation hub in Western Canada.</w:t>
      </w:r>
    </w:p>
    <w:bookmarkEnd w:id="20"/>
    <w:bookmarkStart w:id="21" w:name="X49d404211b43446e8fdf38de8b9711683dfae21"/>
    <w:p>
      <w:pPr>
        <w:pStyle w:val="Heading2"/>
      </w:pPr>
      <w:r>
        <w:t xml:space="preserve">Market Analysis: Surgeon Technology Demand in Canada Vancouver</w:t>
      </w:r>
    </w:p>
    <w:p>
      <w:pPr>
        <w:pStyle w:val="FirstParagraph"/>
      </w:pPr>
      <w:r>
        <w:t xml:space="preserve">The healthcare landscape in Canada Vancouver presents unique dynamics influencing "Surgeon" adoption. With a rapidly aging population (18% over 65) and a growing demand for minimally invasive procedures, regional hospitals face unprecedented pressure to enhance surgical precision while managing waitlists. STS identified this as the ideal market for its flagship product, the "Surgeon Navigator™," a real-time intraoperative guidance system that reduces procedural time by up to 27% and improves patient outcomes. Vancouver's commitment to digital health transformation, evidenced by provincial initiatives like BC Digital Health Strategy 2030, directly accelerated STS sales momentum.</w:t>
      </w:r>
    </w:p>
    <w:p>
      <w:pPr>
        <w:pStyle w:val="BodyText"/>
      </w:pPr>
      <w:r>
        <w:t xml:space="preserve">Key market insights include:</w:t>
      </w:r>
    </w:p>
    <w:p>
      <w:pPr>
        <w:numPr>
          <w:ilvl w:val="0"/>
          <w:numId w:val="1001"/>
        </w:numPr>
        <w:pStyle w:val="Compact"/>
      </w:pPr>
      <w:r>
        <w:rPr>
          <w:bCs/>
          <w:b/>
        </w:rPr>
        <w:t xml:space="preserve">Competitive Landscape:</w:t>
      </w:r>
      <w:r>
        <w:t xml:space="preserve"> </w:t>
      </w:r>
      <w:r>
        <w:t xml:space="preserve">Vancouver hospitals previously relied on legacy systems from international vendors. The "Surgeon" brand's emphasis on local support and seamless integration with BC’s provincial health IT infrastructure (e.g., MedEx) created a decisive competitive advantage.</w:t>
      </w:r>
    </w:p>
    <w:p>
      <w:pPr>
        <w:numPr>
          <w:ilvl w:val="0"/>
          <w:numId w:val="1001"/>
        </w:numPr>
        <w:pStyle w:val="Compact"/>
      </w:pPr>
      <w:r>
        <w:rPr>
          <w:bCs/>
          <w:b/>
        </w:rPr>
        <w:t xml:space="preserve">Institutional Partnerships:</w:t>
      </w:r>
      <w:r>
        <w:t xml:space="preserve"> </w:t>
      </w:r>
      <w:r>
        <w:t xml:space="preserve">Strategic contracts secured with Vancouver General Hospital, St. Paul’s Hospital, and UBC Hospital accounted for 68% of total revenue in the region. These partnerships included tailored training programs for surgical teams—a critical factor in overcoming initial adoption resistance.</w:t>
      </w:r>
    </w:p>
    <w:p>
      <w:pPr>
        <w:numPr>
          <w:ilvl w:val="0"/>
          <w:numId w:val="1001"/>
        </w:numPr>
        <w:pStyle w:val="Compact"/>
      </w:pPr>
      <w:r>
        <w:rPr>
          <w:bCs/>
          <w:b/>
        </w:rPr>
        <w:t xml:space="preserve">Regulatory Alignment:</w:t>
      </w:r>
      <w:r>
        <w:t xml:space="preserve"> </w:t>
      </w:r>
      <w:r>
        <w:t xml:space="preserve">STS navigated Health Canada's stringent medical device approval processes with precision, ensuring all "Surgeon" products met local safety and efficacy standards before market entry. This compliance was non-negotiable for Vancouver’s healthcare procurement frameworks.</w:t>
      </w:r>
    </w:p>
    <w:bookmarkEnd w:id="21"/>
    <w:bookmarkStart w:id="22" w:name="Xf0a7e1ee063ae3d234d29dd5617cb0441db9bd3"/>
    <w:p>
      <w:pPr>
        <w:pStyle w:val="Heading2"/>
      </w:pPr>
      <w:r>
        <w:t xml:space="preserve">Sales Performance Breakdown: Canada Vancouver</w:t>
      </w:r>
    </w:p>
    <w:p>
      <w:pPr>
        <w:pStyle w:val="FirstParagraph"/>
      </w:pPr>
      <w:r>
        <w:t xml:space="preserve">The 2023-2024 Sales Report highlights exceptional results across all segments: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Units Sold (Vancouver)</w:t>
            </w:r>
          </w:p>
        </w:tc>
        <w:tc>
          <w:tcPr/>
          <w:p>
            <w:pPr>
              <w:pStyle w:val="Compact"/>
              <w:jc w:val="left"/>
            </w:pPr>
            <w:r>
              <w:t xml:space="preserve">Revenue Generated</w:t>
            </w:r>
          </w:p>
        </w:tc>
        <w:tc>
          <w:tcPr/>
          <w:p>
            <w:pPr>
              <w:pStyle w:val="Compact"/>
              <w:jc w:val="left"/>
            </w:pPr>
            <w:r>
              <w:t xml:space="preserve">Growth vs. Previous Year</w:t>
            </w:r>
          </w:p>
        </w:tc>
      </w:tr>
      <w:tr>
        <w:tc>
          <w:tcPr/>
          <w:p>
            <w:pPr>
              <w:pStyle w:val="Compact"/>
              <w:jc w:val="left"/>
            </w:pPr>
            <w:r>
              <w:t xml:space="preserve">Surgeon Navigator™ Core System</w:t>
            </w:r>
          </w:p>
        </w:tc>
        <w:tc>
          <w:tcPr/>
          <w:p>
            <w:pPr>
              <w:pStyle w:val="Compact"/>
              <w:jc w:val="left"/>
            </w:pPr>
            <w:r>
              <w:t xml:space="preserve">42 units</w:t>
            </w:r>
          </w:p>
        </w:tc>
        <w:tc>
          <w:tcPr/>
          <w:p>
            <w:pPr>
              <w:pStyle w:val="Compact"/>
              <w:jc w:val="left"/>
            </w:pPr>
            <w:r>
              <w:t xml:space="preserve">$3,875,000 CAD</w:t>
            </w:r>
          </w:p>
        </w:tc>
        <w:tc>
          <w:tcPr/>
          <w:p>
            <w:pPr>
              <w:pStyle w:val="Compact"/>
              <w:jc w:val="left"/>
            </w:pPr>
            <w:r>
              <w:t xml:space="preserve">+41%</w:t>
            </w:r>
          </w:p>
        </w:tc>
      </w:tr>
      <w:tr>
        <w:tc>
          <w:tcPr/>
          <w:p>
            <w:pPr>
              <w:pStyle w:val="Compact"/>
              <w:jc w:val="left"/>
            </w:pPr>
            <w:r>
              <w:t xml:space="preserve">Surgical Add-On Modules (e.g., Orthopedic Suite)</w:t>
            </w:r>
          </w:p>
        </w:tc>
        <w:tc>
          <w:tcPr/>
          <w:p>
            <w:pPr>
              <w:pStyle w:val="Compact"/>
              <w:jc w:val="left"/>
            </w:pPr>
            <w:r>
              <w:t xml:space="preserve">118 modules</w:t>
            </w:r>
          </w:p>
        </w:tc>
        <w:tc>
          <w:tcPr/>
          <w:p>
            <w:pPr>
              <w:pStyle w:val="Compact"/>
              <w:jc w:val="left"/>
            </w:pPr>
            <w:r>
              <w:t xml:space="preserve">$2,692,500 CAD</w:t>
            </w:r>
          </w:p>
        </w:tc>
        <w:tc>
          <w:tcPr/>
          <w:p>
            <w:pPr>
              <w:pStyle w:val="Compact"/>
              <w:jc w:val="left"/>
            </w:pPr>
            <w:r>
              <w:t xml:space="preserve">+37%</w:t>
            </w:r>
          </w:p>
        </w:tc>
      </w:tr>
      <w:tr>
        <w:tc>
          <w:tcPr/>
          <w:p>
            <w:pPr>
              <w:pStyle w:val="Compact"/>
              <w:jc w:val="left"/>
            </w:pPr>
            <w:r>
              <w:t xml:space="preserve">Training &amp; Support Contracts</w:t>
            </w:r>
          </w:p>
        </w:tc>
        <w:tc>
          <w:tcPr/>
          <w:p>
            <w:pPr>
              <w:pStyle w:val="Compact"/>
              <w:jc w:val="left"/>
            </w:pPr>
            <w:r>
              <w:t xml:space="preserve">35 institutional agreements</w:t>
            </w:r>
          </w:p>
        </w:tc>
        <w:tc>
          <w:tcPr/>
          <w:p>
            <w:pPr>
              <w:pStyle w:val="Compact"/>
              <w:jc w:val="left"/>
            </w:pPr>
            <w:r>
              <w:t xml:space="preserve">$1,480,000 CAD</w:t>
            </w:r>
          </w:p>
        </w:tc>
        <w:tc>
          <w:tcPr/>
          <w:p>
            <w:pPr>
              <w:pStyle w:val="Compact"/>
              <w:jc w:val="left"/>
            </w:pPr>
            <w:r>
              <w:t xml:space="preserve">+29%</w:t>
            </w:r>
          </w:p>
        </w:tc>
      </w:tr>
      <w:tr>
        <w:tc>
          <w:tcPr/>
          <w:p>
            <w:pPr>
              <w:pStyle w:val="Compact"/>
              <w:jc w:val="left"/>
            </w:pPr>
            <w:r>
              <w:rPr>
                <w:bCs/>
                <w:b/>
              </w:rPr>
              <w:t xml:space="preserve">Total Vancouver Revenue</w:t>
            </w:r>
          </w:p>
        </w:tc>
        <w:tc>
          <w:tcPr/>
          <w:p>
            <w:pPr>
              <w:pStyle w:val="Compact"/>
              <w:jc w:val="left"/>
            </w:pPr>
            <w:r>
              <w:rPr>
                <w:bCs/>
                <w:b/>
              </w:rPr>
              <w:t xml:space="preserve">195 units/modules</w:t>
            </w:r>
          </w:p>
        </w:tc>
        <w:tc>
          <w:tcPr/>
          <w:p>
            <w:pPr>
              <w:pStyle w:val="Compact"/>
              <w:jc w:val="left"/>
            </w:pPr>
            <w:r>
              <w:rPr>
                <w:bCs/>
                <w:b/>
              </w:rPr>
              <w:t xml:space="preserve">$7,947,500 CAD</w:t>
            </w:r>
          </w:p>
        </w:tc>
        <w:tc>
          <w:tcPr/>
          <w:p>
            <w:pPr>
              <w:pStyle w:val="Compact"/>
              <w:jc w:val="left"/>
            </w:pPr>
            <w:r>
              <w:rPr>
                <w:bCs/>
                <w:b/>
              </w:rPr>
              <w:t xml:space="preserve">+34%</w:t>
            </w:r>
          </w:p>
        </w:tc>
      </w:tr>
    </w:tbl>
    <w:p>
      <w:pPr>
        <w:pStyle w:val="BodyText"/>
      </w:pPr>
      <w:r>
        <w:t xml:space="preserve">The "Surgeon" product line demonstrated particularly strong adoption in orthopedic and neurosurgery departments—specialties with acute demand for precision technology in Vancouver's leading trauma centers. Notably, the 34% growth rate far exceeds the national average of 16% for medical technology sales in Canada (per Canadian Medical Association data).</w:t>
      </w:r>
    </w:p>
    <w:bookmarkEnd w:id="22"/>
    <w:bookmarkStart w:id="23" w:name="strategic-initiatives-driving-success"/>
    <w:p>
      <w:pPr>
        <w:pStyle w:val="Heading2"/>
      </w:pPr>
      <w:r>
        <w:t xml:space="preserve">Strategic Initiatives Driving Success</w:t>
      </w:r>
    </w:p>
    <w:p>
      <w:pPr>
        <w:pStyle w:val="FirstParagraph"/>
      </w:pPr>
      <w:r>
        <w:t xml:space="preserve">Three key strategies positioned STS for Vancouver market dominance:</w:t>
      </w:r>
    </w:p>
    <w:p>
      <w:pPr>
        <w:numPr>
          <w:ilvl w:val="0"/>
          <w:numId w:val="1002"/>
        </w:numPr>
        <w:pStyle w:val="Compact"/>
      </w:pPr>
      <w:r>
        <w:rPr>
          <w:bCs/>
          <w:b/>
        </w:rPr>
        <w:t xml:space="preserve">Hyperlocal Partnerships:</w:t>
      </w:r>
      <w:r>
        <w:t xml:space="preserve"> </w:t>
      </w:r>
      <w:r>
        <w:t xml:space="preserve">STS established a dedicated Vancouver office near the BC Centre for Excellence in HIV/AIDS, fostering trust with healthcare leaders. This allowed real-time feedback loops that refined "Surgeon" software updates within weeks, not months.</w:t>
      </w:r>
    </w:p>
    <w:p>
      <w:pPr>
        <w:numPr>
          <w:ilvl w:val="0"/>
          <w:numId w:val="1002"/>
        </w:numPr>
        <w:pStyle w:val="Compact"/>
      </w:pPr>
      <w:r>
        <w:rPr>
          <w:bCs/>
          <w:b/>
        </w:rPr>
        <w:t xml:space="preserve">Tailored Value Proposition:</w:t>
      </w:r>
      <w:r>
        <w:t xml:space="preserve"> </w:t>
      </w:r>
      <w:r>
        <w:t xml:space="preserve">Instead of generic sales pitches, the STS team demonstrated how "Surgeon" solutions directly addressed Vancouver-specific pain points: reducing emergency room wait times for complex surgeries and optimizing resource use during peak flu seasons.</w:t>
      </w:r>
    </w:p>
    <w:p>
      <w:pPr>
        <w:numPr>
          <w:ilvl w:val="0"/>
          <w:numId w:val="1002"/>
        </w:numPr>
        <w:pStyle w:val="Compact"/>
      </w:pPr>
      <w:r>
        <w:rPr>
          <w:bCs/>
          <w:b/>
        </w:rPr>
        <w:t xml:space="preserve">Community Engagement:</w:t>
      </w:r>
      <w:r>
        <w:t xml:space="preserve"> </w:t>
      </w:r>
      <w:r>
        <w:t xml:space="preserve">Hosting free workshops at the Vancouver General Hospital Innovation Hub (co-sponsored with BC HealthTech Association) showcased "Surgeon" in action, generating 52 qualified leads from local institutions within three months.</w:t>
      </w:r>
    </w:p>
    <w:bookmarkEnd w:id="23"/>
    <w:bookmarkStart w:id="24" w:name="challenges-and-mitigation"/>
    <w:p>
      <w:pPr>
        <w:pStyle w:val="Heading2"/>
      </w:pPr>
      <w:r>
        <w:t xml:space="preserve">Challenges and Mitigation</w:t>
      </w:r>
    </w:p>
    <w:p>
      <w:pPr>
        <w:pStyle w:val="FirstParagraph"/>
      </w:pPr>
      <w:r>
        <w:t xml:space="preserve">The Sales Report acknowledges challenges unique to Canada Vancouver:</w:t>
      </w:r>
    </w:p>
    <w:p>
      <w:pPr>
        <w:numPr>
          <w:ilvl w:val="0"/>
          <w:numId w:val="1003"/>
        </w:numPr>
        <w:pStyle w:val="Compact"/>
      </w:pPr>
      <w:r>
        <w:rPr>
          <w:bCs/>
          <w:b/>
        </w:rPr>
        <w:t xml:space="preserve">Procurement Timelines:</w:t>
      </w:r>
      <w:r>
        <w:t xml:space="preserve"> </w:t>
      </w:r>
      <w:r>
        <w:t xml:space="preserve">Provincial healthcare budgets often operate on annual cycles, causing 3–4 month delays in purchase approvals. STS mitigated this by offering flexible payment plans and pre-approval consultations during budget planning phases.</w:t>
      </w:r>
    </w:p>
    <w:p>
      <w:pPr>
        <w:numPr>
          <w:ilvl w:val="0"/>
          <w:numId w:val="1003"/>
        </w:numPr>
        <w:pStyle w:val="Compact"/>
      </w:pPr>
      <w:r>
        <w:rPr>
          <w:bCs/>
          <w:b/>
        </w:rPr>
        <w:t xml:space="preserve">Talent Acquisition:</w:t>
      </w:r>
      <w:r>
        <w:t xml:space="preserve"> </w:t>
      </w:r>
      <w:r>
        <w:t xml:space="preserve">Recruiting specialized surgical technology trainers within Vancouver was competitive. Solution: Partnered with the University of British Columbia’s Biomedical Engineering department to create a pipeline of certified "Surgeon" system specialists.</w:t>
      </w:r>
    </w:p>
    <w:bookmarkEnd w:id="24"/>
    <w:bookmarkStart w:id="25" w:name="Xbca86707199d02f2f4afcb2b1202f2fe0ea5203"/>
    <w:p>
      <w:pPr>
        <w:pStyle w:val="Heading2"/>
      </w:pPr>
      <w:r>
        <w:t xml:space="preserve">Future Outlook: Surgeon Technology in Canada Vancouver</w:t>
      </w:r>
    </w:p>
    <w:p>
      <w:pPr>
        <w:pStyle w:val="FirstParagraph"/>
      </w:pPr>
      <w:r>
        <w:t xml:space="preserve">Based on current momentum, this Sales Report projects 28% revenue growth for STS in Canada Vancouver during FY 2024-2025. Key growth vectors include:</w:t>
      </w:r>
    </w:p>
    <w:p>
      <w:pPr>
        <w:numPr>
          <w:ilvl w:val="0"/>
          <w:numId w:val="1004"/>
        </w:numPr>
        <w:pStyle w:val="Compact"/>
      </w:pPr>
      <w:r>
        <w:t xml:space="preserve">Expanding into Victoria and Surrey through Vancouver-based client referrals</w:t>
      </w:r>
    </w:p>
    <w:p>
      <w:pPr>
        <w:numPr>
          <w:ilvl w:val="0"/>
          <w:numId w:val="1004"/>
        </w:numPr>
        <w:pStyle w:val="Compact"/>
      </w:pPr>
      <w:r>
        <w:t xml:space="preserve">Leveraging the BC Ministry of Health’s new $15M Digital Surgery Fund for pilot programs</w:t>
      </w:r>
    </w:p>
    <w:p>
      <w:pPr>
        <w:numPr>
          <w:ilvl w:val="0"/>
          <w:numId w:val="1004"/>
        </w:numPr>
        <w:pStyle w:val="Compact"/>
      </w:pPr>
      <w:r>
        <w:t xml:space="preserve">Introducing "Surgeon AI," an enhanced predictive analytics module co-developed with Vancouver-based AI startup NeuroSight Labs</w:t>
      </w:r>
    </w:p>
    <w:p>
      <w:pPr>
        <w:pStyle w:val="FirstParagraph"/>
      </w:pPr>
      <w:r>
        <w:t xml:space="preserve">The future of surgical excellence in Canada Vancouver hinges on technology that prioritizes precision, efficiency, and patient safety—and "Surgeon" technology is positioned as the catalyst for this evolution. As noted by Dr. Anya Petrova, Chief of Surgery at St. Paul’s Hospital:</w:t>
      </w:r>
      <w:r>
        <w:t xml:space="preserve"> </w:t>
      </w:r>
      <w:r>
        <w:rPr>
          <w:iCs/>
          <w:i/>
        </w:rPr>
        <w:t xml:space="preserve">"The Surgeon Navigator isn’t just a tool; it’s redefining our surgical standards in Vancouver."</w:t>
      </w:r>
    </w:p>
    <w:bookmarkEnd w:id="25"/>
    <w:bookmarkStart w:id="26" w:name="conclusion"/>
    <w:p>
      <w:pPr>
        <w:pStyle w:val="Heading2"/>
      </w:pPr>
      <w:r>
        <w:t xml:space="preserve">Conclusion</w:t>
      </w:r>
    </w:p>
    <w:p>
      <w:pPr>
        <w:pStyle w:val="FirstParagraph"/>
      </w:pPr>
      <w:r>
        <w:t xml:space="preserve">This Sales Report unequivocally confirms that "Surgeon" technology solutions have become indispensable within Canada Vancouver’s healthcare infrastructure. By aligning product innovation with the region’s unique clinical and operational demands, STS has not only achieved exceptional commercial results but has also contributed to tangible improvements in surgical care accessibility and quality across British Columbia. The Vancouver market serves as a blueprint for national expansion, proving that when technology is designed for local context, it delivers unparalleled value. For STS, the journey of integrating "Surgeon" into the heart of Canada’s medical ecosystem has just reached its most promising phase.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Technology Solutions in Canada Vancouver Market</dc:title>
  <dc:creator/>
  <cp:keywords/>
  <dcterms:created xsi:type="dcterms:W3CDTF">2026-07-21T05:41:14Z</dcterms:created>
  <dcterms:modified xsi:type="dcterms:W3CDTF">2026-07-21T05:41:14Z</dcterms:modified>
</cp:coreProperties>
</file>

<file path=docProps/custom.xml><?xml version="1.0" encoding="utf-8"?>
<Properties xmlns="http://schemas.openxmlformats.org/officeDocument/2006/custom-properties" xmlns:vt="http://schemas.openxmlformats.org/officeDocument/2006/docPropsVTypes"/>
</file>