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Product</w:t>
      </w:r>
      <w:r>
        <w:t xml:space="preserve"> </w:t>
      </w:r>
      <w:r>
        <w:t xml:space="preserve">Line</w:t>
      </w:r>
      <w:r>
        <w:t xml:space="preserve"> </w:t>
      </w:r>
      <w:r>
        <w:t xml:space="preserve">-</w:t>
      </w:r>
      <w:r>
        <w:t xml:space="preserve"> </w:t>
      </w:r>
      <w:r>
        <w:t xml:space="preserve">Chile</w:t>
      </w:r>
      <w:r>
        <w:t xml:space="preserve"> </w:t>
      </w:r>
      <w:r>
        <w:t xml:space="preserve">Santiago</w:t>
      </w:r>
      <w:r>
        <w:t xml:space="preserve"> </w:t>
      </w:r>
      <w:r>
        <w:t xml:space="preserve">Market</w:t>
      </w:r>
    </w:p>
    <w:bookmarkStart w:id="28" w:name="Xac5194a4503250dba9cd918510af31dca5f1196"/>
    <w:p>
      <w:pPr>
        <w:pStyle w:val="Heading1"/>
      </w:pPr>
      <w:r>
        <w:t xml:space="preserve">Comprehensive Sales Report: Surgeon Product Line Performance in Santiago, Chile</w:t>
      </w:r>
    </w:p>
    <w:bookmarkStart w:id="20" w:name="executive-summary"/>
    <w:p>
      <w:pPr>
        <w:pStyle w:val="Heading2"/>
      </w:pPr>
      <w:r>
        <w:t xml:space="preserve">Executive Summary</w:t>
      </w:r>
    </w:p>
    <w:p>
      <w:pPr>
        <w:pStyle w:val="FirstParagraph"/>
      </w:pPr>
      <w:r>
        <w:t xml:space="preserve">This report details the sales performance of the "Surgeon" premium surgical instrument line across Santiago, Chile for Q1-Q3 2024. The Surgeon product suite (including the Surgeon Elite Series and Surgeon Precision Kits) has demonstrated exceptional growth in Chile's highly competitive medical technology market, with Santiago serving as the critical hub for distribution, training, and customer acquisition. Despite regional economic pressures, the Surgeon brand achieved a 38% year-over-year sales increase in Santiago alone, significantly outperforming both national averages (18%) and key competitors. This report validates our strategic investment in Chile Santiago as the cornerstone of Latin American expansion for the Surgeon product line.</w:t>
      </w:r>
    </w:p>
    <w:bookmarkEnd w:id="20"/>
    <w:bookmarkStart w:id="21" w:name="X1b21585fc1e43e6eb152695c79c903bc1f9af6f"/>
    <w:p>
      <w:pPr>
        <w:pStyle w:val="Heading2"/>
      </w:pPr>
      <w:r>
        <w:t xml:space="preserve">Market Context: Chile Santiago Healthcare Landscape</w:t>
      </w:r>
    </w:p>
    <w:p>
      <w:pPr>
        <w:pStyle w:val="FirstParagraph"/>
      </w:pPr>
      <w:r>
        <w:t xml:space="preserve">Santiago, as Chile's capital and economic engine, hosts over 60% of the country's private healthcare facilities and major teaching hospitals (including Clínica Las Condes, Hospital San José, and Pontificia Universidad Católica de Chile). The city's dual healthcare system—combining FONASA (public coverage) and ISAPREs (private insurance)—creates a high-demand environment for premium surgical solutions. Surgeons in Santiago increasingly prioritize precision, reliability, and ergonomic design due to rising complex procedures. The "Surgeon" brand has strategically aligned with these needs through localized training programs and partnerships with key Santiago-based hospital groups.</w:t>
      </w:r>
    </w:p>
    <w:bookmarkEnd w:id="21"/>
    <w:bookmarkStart w:id="22" w:name="Xb9b61a2df4f8692162f2877422a8b69755de64f"/>
    <w:p>
      <w:pPr>
        <w:pStyle w:val="Heading2"/>
      </w:pPr>
      <w:r>
        <w:t xml:space="preserve">Sales Performance Highlights (January - September 2024)</w:t>
      </w:r>
    </w:p>
    <w:p>
      <w:pPr>
        <w:pStyle w:val="FirstParagraph"/>
      </w:pPr>
      <w:r>
        <w:t xml:space="preserve">Category</w:t>
      </w:r>
    </w:p>
    <w:p>
      <w:pPr>
        <w:pStyle w:val="BodyText"/>
      </w:pPr>
      <w:r>
        <w:t xml:space="preserve">Q1 2024</w:t>
      </w:r>
    </w:p>
    <w:p>
      <w:pPr>
        <w:pStyle w:val="BodyText"/>
      </w:pPr>
      <w:r>
        <w:t xml:space="preserve">Q2 2024</w:t>
      </w:r>
    </w:p>
    <w:p>
      <w:pPr>
        <w:pStyle w:val="BodyText"/>
      </w:pPr>
      <w:r>
        <w:t xml:space="preserve">Q3 2024</w:t>
      </w:r>
    </w:p>
    <w:p>
      <w:pPr>
        <w:pStyle w:val="BodyText"/>
      </w:pPr>
      <w:r>
        <w:t xml:space="preserve">Total (YTD)</w:t>
      </w:r>
    </w:p>
    <w:p>
      <w:pPr>
        <w:pStyle w:val="BodyText"/>
      </w:pPr>
      <w:r>
        <w:t xml:space="preserve">Units Sold (Santiago)</w:t>
      </w:r>
    </w:p>
    <w:p>
      <w:pPr>
        <w:pStyle w:val="BodyText"/>
      </w:pPr>
      <w:r>
        <w:t xml:space="preserve">1,850</w:t>
      </w:r>
    </w:p>
    <w:p>
      <w:pPr>
        <w:pStyle w:val="BodyText"/>
      </w:pPr>
      <w:r>
        <w:t xml:space="preserve">2,410</w:t>
      </w:r>
    </w:p>
    <w:p>
      <w:pPr>
        <w:pStyle w:val="BodyText"/>
      </w:pPr>
      <w:r>
        <w:t xml:space="preserve">3,120</w:t>
      </w:r>
    </w:p>
    <w:p>
      <w:pPr>
        <w:pStyle w:val="BodyText"/>
      </w:pPr>
      <w:r>
        <w:t xml:space="preserve">7,380</w:t>
      </w:r>
    </w:p>
    <w:p>
      <w:pPr>
        <w:pStyle w:val="BodyText"/>
      </w:pPr>
      <w:r>
        <w:t xml:space="preserve">% Growth vs. Prior Year (Santiago)</w:t>
      </w:r>
    </w:p>
    <w:p>
      <w:pPr>
        <w:pStyle w:val="BodyText"/>
      </w:pPr>
      <w:r>
        <w:t xml:space="preserve">+24%</w:t>
      </w:r>
    </w:p>
    <w:p>
      <w:pPr>
        <w:pStyle w:val="BodyText"/>
      </w:pPr>
      <w:r>
        <w:t xml:space="preserve">&lt;</w:t>
      </w:r>
    </w:p>
    <w:p>
      <w:pPr>
        <w:pStyle w:val="BodyText"/>
      </w:pPr>
      <w:r>
        <w:t xml:space="preserve">+39%</w:t>
      </w:r>
    </w:p>
    <w:p>
      <w:pPr>
        <w:pStyle w:val="BodyText"/>
      </w:pPr>
      <w:r>
        <w:t xml:space="preserve">+51%</w:t>
      </w:r>
    </w:p>
    <w:p>
      <w:pPr>
        <w:pStyle w:val="BodyText"/>
      </w:pPr>
      <w:r>
        <w:t xml:space="preserve">+38% (YTD)</w:t>
      </w:r>
    </w:p>
    <w:p>
      <w:pPr>
        <w:pStyle w:val="BodyText"/>
      </w:pPr>
      <w:r>
        <w:t xml:space="preserve">Revenue Generated ($USD)</w:t>
      </w:r>
    </w:p>
    <w:p>
      <w:pPr>
        <w:pStyle w:val="BodyText"/>
      </w:pPr>
      <w:r>
        <w:t xml:space="preserve">$1.42M</w:t>
      </w:r>
    </w:p>
    <w:p>
      <w:pPr>
        <w:pStyle w:val="BodyText"/>
      </w:pPr>
      <w:r>
        <w:t xml:space="preserve">&lt;</w:t>
      </w:r>
    </w:p>
    <w:p>
      <w:pPr>
        <w:pStyle w:val="BodyText"/>
      </w:pPr>
      <w:r>
        <w:t xml:space="preserve">$1.87M</w:t>
      </w:r>
    </w:p>
    <w:p>
      <w:pPr>
        <w:pStyle w:val="BodyText"/>
      </w:pPr>
      <w:r>
        <w:t xml:space="preserve">Total Revenue (Santiago, YTD)</w:t>
      </w:r>
    </w:p>
    <w:p>
      <w:pPr>
        <w:pStyle w:val="BodyText"/>
      </w:pPr>
      <w:r>
        <w:t xml:space="preserve">$5.36M</w:t>
      </w:r>
    </w:p>
    <w:p>
      <w:pPr>
        <w:pStyle w:val="BodyText"/>
      </w:pPr>
      <w:r>
        <w:t xml:space="preserve">Key drivers behind this surge include:</w:t>
      </w:r>
    </w:p>
    <w:p>
      <w:pPr>
        <w:numPr>
          <w:ilvl w:val="0"/>
          <w:numId w:val="1001"/>
        </w:numPr>
        <w:pStyle w:val="Compact"/>
      </w:pPr>
      <w:r>
        <w:rPr>
          <w:bCs/>
          <w:b/>
        </w:rPr>
        <w:t xml:space="preserve">Strategic Hospital Partnerships:</w:t>
      </w:r>
      <w:r>
        <w:t xml:space="preserve"> </w:t>
      </w:r>
      <w:r>
        <w:t xml:space="preserve">Exclusive contracts with 8 major Santiago hospitals (including Clínica Las Condes and Clinica Santa María), resulting in a 65% increase in institutional orders.</w:t>
      </w:r>
    </w:p>
    <w:p>
      <w:pPr>
        <w:numPr>
          <w:ilvl w:val="0"/>
          <w:numId w:val="1001"/>
        </w:numPr>
        <w:pStyle w:val="Compact"/>
      </w:pPr>
      <w:r>
        <w:rPr>
          <w:bCs/>
          <w:b/>
        </w:rPr>
        <w:t xml:space="preserve">Surgeon Endorsement Program:</w:t>
      </w:r>
      <w:r>
        <w:t xml:space="preserve"> </w:t>
      </w:r>
      <w:r>
        <w:t xml:space="preserve">Collaborations with 27 leading surgeons across Santiago for clinical trials and product feedback, directly influencing Surgeon line refinements.</w:t>
      </w:r>
    </w:p>
    <w:p>
      <w:pPr>
        <w:numPr>
          <w:ilvl w:val="0"/>
          <w:numId w:val="1001"/>
        </w:numPr>
        <w:pStyle w:val="Compact"/>
      </w:pPr>
      <w:r>
        <w:rPr>
          <w:bCs/>
          <w:b/>
        </w:rPr>
        <w:t xml:space="preserve">Localized Training Initiatives:</w:t>
      </w:r>
      <w:r>
        <w:t xml:space="preserve"> </w:t>
      </w:r>
      <w:r>
        <w:t xml:space="preserve">Quarterly workshops at the University of Chile Medical School, boosting surgeon adoption rates by 42% in Santiago.</w:t>
      </w:r>
    </w:p>
    <w:bookmarkEnd w:id="22"/>
    <w:bookmarkStart w:id="23" w:name="regional-breakdown-santiagos-dominance"/>
    <w:p>
      <w:pPr>
        <w:pStyle w:val="Heading2"/>
      </w:pPr>
      <w:r>
        <w:t xml:space="preserve">Regional Breakdown: Santiago's Dominance</w:t>
      </w:r>
    </w:p>
    <w:p>
      <w:pPr>
        <w:pStyle w:val="FirstParagraph"/>
      </w:pPr>
      <w:r>
        <w:t xml:space="preserve">Santiago accounted for 76% of all "Surgeon" product sales in Chile during Q1-Q3 2024, underscoring its status as the primary market driver. While smaller cities like Antofagasta and Temuco showed steady growth (15% YoY), Santiago's concentration of high-volume surgical centers and decision-makers made it non-negotiable for our regional strategy. Notably, the Surgeon Elite Series—targeting minimally invasive procedures—saw a 73% uptake in Santiago’s private clinics, directly responding to surgeon demand for reduced recovery times.</w:t>
      </w:r>
    </w:p>
    <w:bookmarkEnd w:id="23"/>
    <w:bookmarkStart w:id="24" w:name="customer-feedback-surgeon-adoption"/>
    <w:p>
      <w:pPr>
        <w:pStyle w:val="Heading2"/>
      </w:pPr>
      <w:r>
        <w:t xml:space="preserve">Customer Feedback &amp; Surgeon Adoption</w:t>
      </w:r>
    </w:p>
    <w:p>
      <w:pPr>
        <w:pStyle w:val="FirstParagraph"/>
      </w:pPr>
      <w:r>
        <w:t xml:space="preserve">Post-purchase surveys with 147 surgeons across Santiago revealed:</w:t>
      </w:r>
    </w:p>
    <w:p>
      <w:pPr>
        <w:numPr>
          <w:ilvl w:val="0"/>
          <w:numId w:val="1002"/>
        </w:numPr>
        <w:pStyle w:val="Compact"/>
      </w:pPr>
      <w:r>
        <w:t xml:space="preserve">92% rated the Surgeon instruments "superior in precision" vs. competitors (compared to 68% industry average).</w:t>
      </w:r>
    </w:p>
    <w:p>
      <w:pPr>
        <w:numPr>
          <w:ilvl w:val="0"/>
          <w:numId w:val="1002"/>
        </w:numPr>
        <w:pStyle w:val="Compact"/>
      </w:pPr>
      <w:r>
        <w:t xml:space="preserve">85% cited "ergonomic design" as a key factor for repeat orders.</w:t>
      </w:r>
    </w:p>
    <w:p>
      <w:pPr>
        <w:numPr>
          <w:ilvl w:val="0"/>
          <w:numId w:val="1002"/>
        </w:numPr>
        <w:pStyle w:val="Compact"/>
      </w:pPr>
      <w:r>
        <w:t xml:space="preserve">"The training provided by your Santiago team made the transition seamless," noted Dr. Mariana Vargas, Chief of General Surgery at Clínica Santa María.</w:t>
      </w:r>
    </w:p>
    <w:bookmarkEnd w:id="24"/>
    <w:bookmarkStart w:id="25" w:name="challenges-mitigation-strategies"/>
    <w:p>
      <w:pPr>
        <w:pStyle w:val="Heading2"/>
      </w:pPr>
      <w:r>
        <w:t xml:space="preserve">Challenges &amp; Mitigation Strategies</w:t>
      </w:r>
    </w:p>
    <w:p>
      <w:pPr>
        <w:pStyle w:val="FirstParagraph"/>
      </w:pPr>
      <w:r>
        <w:t xml:space="preserve">While growth was strong, two regional challenges required immediate action:</w:t>
      </w:r>
    </w:p>
    <w:p>
      <w:pPr>
        <w:numPr>
          <w:ilvl w:val="0"/>
          <w:numId w:val="1003"/>
        </w:numPr>
        <w:pStyle w:val="Compact"/>
      </w:pPr>
      <w:r>
        <w:rPr>
          <w:bCs/>
          <w:b/>
        </w:rPr>
        <w:t xml:space="preserve">Currency Volatility:</w:t>
      </w:r>
      <w:r>
        <w:t xml:space="preserve"> </w:t>
      </w:r>
      <w:r>
        <w:t xml:space="preserve">The Chilean peso’s 12% depreciation against USD impacted profit margins. *Mitigation:* Implemented fixed-price contracts with Santiago hospitals in local currency for Q4 2024, securing 89% of forecasted revenue.</w:t>
      </w:r>
    </w:p>
    <w:p>
      <w:pPr>
        <w:numPr>
          <w:ilvl w:val="0"/>
          <w:numId w:val="1003"/>
        </w:numPr>
        <w:pStyle w:val="Compact"/>
      </w:pPr>
      <w:r>
        <w:rPr>
          <w:bCs/>
          <w:b/>
        </w:rPr>
        <w:t xml:space="preserve">Competitive Pressure from Local Brands:</w:t>
      </w:r>
      <w:r>
        <w:t xml:space="preserve"> </w:t>
      </w:r>
      <w:r>
        <w:t xml:space="preserve">Chilean manufacturers like Medisurg launched low-cost alternatives. *Mitigation:* Launched the Surgeon Advantage Program in Santiago, offering free advanced training and extended warranties—resulting in a 27% higher retention rate.</w:t>
      </w:r>
    </w:p>
    <w:bookmarkEnd w:id="25"/>
    <w:bookmarkStart w:id="26" w:name="X8ff545073308fd2c35ac8af7fadd3e3a172291a"/>
    <w:p>
      <w:pPr>
        <w:pStyle w:val="Heading2"/>
      </w:pPr>
      <w:r>
        <w:t xml:space="preserve">Future Strategy: Cementing Surgeon Leadership in Chile Santiago</w:t>
      </w:r>
    </w:p>
    <w:p>
      <w:pPr>
        <w:pStyle w:val="FirstParagraph"/>
      </w:pPr>
      <w:r>
        <w:t xml:space="preserve">To sustain momentum, we propose the following Chile Santiago-focused initiatives for Q4 2024:</w:t>
      </w:r>
    </w:p>
    <w:p>
      <w:pPr>
        <w:numPr>
          <w:ilvl w:val="0"/>
          <w:numId w:val="1004"/>
        </w:numPr>
        <w:pStyle w:val="Compact"/>
      </w:pPr>
      <w:r>
        <w:rPr>
          <w:bCs/>
          <w:b/>
        </w:rPr>
        <w:t xml:space="preserve">Expansion of "Surgeon Academy":</w:t>
      </w:r>
      <w:r>
        <w:t xml:space="preserve"> </w:t>
      </w:r>
      <w:r>
        <w:t xml:space="preserve">Partner with the University of Santiago to integrate surgical instrument training into residency programs, targeting 50+ new surgeons annually.</w:t>
      </w:r>
    </w:p>
    <w:p>
      <w:pPr>
        <w:numPr>
          <w:ilvl w:val="0"/>
          <w:numId w:val="1004"/>
        </w:numPr>
        <w:pStyle w:val="Compact"/>
      </w:pPr>
      <w:r>
        <w:rPr>
          <w:bCs/>
          <w:b/>
        </w:rPr>
        <w:t xml:space="preserve">Santiago Innovation Lab:</w:t>
      </w:r>
      <w:r>
        <w:t xml:space="preserve"> </w:t>
      </w:r>
      <w:r>
        <w:t xml:space="preserve">Establish a dedicated R&amp;D space in Providencia (Santiago) to co-develop tools for local procedure trends (e.g., laparoscopic bariatrics, common in Chile).</w:t>
      </w:r>
    </w:p>
    <w:p>
      <w:pPr>
        <w:numPr>
          <w:ilvl w:val="0"/>
          <w:numId w:val="1004"/>
        </w:numPr>
        <w:pStyle w:val="Compact"/>
      </w:pPr>
      <w:r>
        <w:rPr>
          <w:bCs/>
          <w:b/>
        </w:rPr>
        <w:t xml:space="preserve">ISAPRE Partnership Program:</w:t>
      </w:r>
      <w:r>
        <w:t xml:space="preserve"> </w:t>
      </w:r>
      <w:r>
        <w:t xml:space="preserve">Secure reimbursement agreements with top ISAPREs (Caja Los Andes, Consalud) covering Surgeon products—a critical step for wider adoption.</w:t>
      </w:r>
    </w:p>
    <w:bookmarkEnd w:id="26"/>
    <w:bookmarkStart w:id="27" w:name="conclusion"/>
    <w:p>
      <w:pPr>
        <w:pStyle w:val="Heading2"/>
      </w:pPr>
      <w:r>
        <w:t xml:space="preserve">Conclusion</w:t>
      </w:r>
    </w:p>
    <w:p>
      <w:pPr>
        <w:pStyle w:val="FirstParagraph"/>
      </w:pPr>
      <w:r>
        <w:t xml:space="preserve">The "Surgeon" product line has unequivocally established itself as a market leader in Chile Santiago. This sales report confirms that strategic localization—rooted in understanding the city’s unique healthcare dynamics, surgeon needs, and economic landscape—delivers outsized returns. Santiago isn’t just a market; it’s our operational nerve center for Latin America. As the Surgeon brand continues to gain traction through surgeon advocacy and institutional partnerships, Chile Santiago will remain the blueprint for our regional expansion strategy. We project Q4 2024 revenue in Santiago to reach $1.9M (18% growth over Q3), pushing total-year sales past $7.25M—a milestone that validates every investment made in this critical market.</w:t>
      </w:r>
    </w:p>
    <w:p>
      <w:pPr>
        <w:pStyle w:val="BodyText"/>
      </w:pPr>
      <w:r>
        <w:rPr>
          <w:iCs/>
          <w:i/>
        </w:rPr>
        <w:t xml:space="preserve">Prepared for: Global Medical Solutions Executive Board</w:t>
      </w:r>
      <w:r>
        <w:br/>
      </w:r>
      <w:r>
        <w:rPr>
          <w:iCs/>
          <w:i/>
        </w:rPr>
        <w:t xml:space="preserve">Report Date: October 26, 2024</w:t>
      </w:r>
      <w:r>
        <w:br/>
      </w:r>
      <w:r>
        <w:rPr>
          <w:iCs/>
          <w:i/>
        </w:rPr>
        <w:t xml:space="preserve">Authored by: Latin America Sales Division - Santiago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Product Line - Chile Santiago Market</dc:title>
  <dc:creator/>
  <dc:language>en</dc:language>
  <cp:keywords/>
  <dcterms:created xsi:type="dcterms:W3CDTF">2025-12-09T12:02:38Z</dcterms:created>
  <dcterms:modified xsi:type="dcterms:W3CDTF">2025-12-09T12:02:38Z</dcterms:modified>
</cp:coreProperties>
</file>

<file path=docProps/custom.xml><?xml version="1.0" encoding="utf-8"?>
<Properties xmlns="http://schemas.openxmlformats.org/officeDocument/2006/custom-properties" xmlns:vt="http://schemas.openxmlformats.org/officeDocument/2006/docPropsVTypes"/>
</file>