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Colombia</w:t>
      </w:r>
      <w:r>
        <w:t xml:space="preserve"> </w:t>
      </w:r>
      <w:r>
        <w:t xml:space="preserve">Medellín</w:t>
      </w:r>
      <w:r>
        <w:t xml:space="preserve"> </w:t>
      </w:r>
      <w:r>
        <w:t xml:space="preserve">Market</w:t>
      </w:r>
    </w:p>
    <w:bookmarkStart w:id="30" w:name="Xb189f2935c89f9ef3a135038f6aae4d0addd593"/>
    <w:p>
      <w:pPr>
        <w:pStyle w:val="Heading1"/>
      </w:pPr>
      <w:r>
        <w:t xml:space="preserve">Q3 2024 Sales Report: Surgeon Product Line - Colombia Medellín Market</w:t>
      </w:r>
    </w:p>
    <w:p>
      <w:pPr>
        <w:pStyle w:val="FirstParagraph"/>
      </w:pPr>
      <w:r>
        <w:t xml:space="preserve">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performance of our flagship medical technology platform,</w:t>
      </w:r>
      <w:r>
        <w:t xml:space="preserve"> </w:t>
      </w:r>
      <w:r>
        <w:rPr>
          <w:bCs/>
          <w:b/>
        </w:rPr>
        <w:t xml:space="preserve">Surgeon</w:t>
      </w:r>
      <w:r>
        <w:t xml:space="preserve">, in the dynamic healthcare market of Medellín, Colombia. Serving as a critical tool for precision surgical procedures across major hospitals in this rapidly growing metropolitan center, the Surgeon system has demonstrated exceptional traction during Q3 2024. With Colombia's healthcare sector expanding at 7.3% annually (World Bank, 2024), Medellín—Colombia's second-largest city and a regional medical hub—has become our most strategic market outside of Bogotá. This report outlines how the Surgeon product has achieved a 42% year-over-year sales increase in Medellín, capturing 31% market share among advanced surgical navigation systems.</w:t>
      </w:r>
    </w:p>
    <w:bookmarkEnd w:id="20"/>
    <w:bookmarkStart w:id="21" w:name="X8c29df6f5504d9b211cee14aafee7469b35c850"/>
    <w:p>
      <w:pPr>
        <w:pStyle w:val="Heading2"/>
      </w:pPr>
      <w:r>
        <w:t xml:space="preserve">Market Context: Colombia Medellín's Healthcare Evolution</w:t>
      </w:r>
    </w:p>
    <w:p>
      <w:pPr>
        <w:pStyle w:val="FirstParagraph"/>
      </w:pPr>
      <w:r>
        <w:t xml:space="preserve">Medellín's healthcare landscape has undergone transformative changes since the 2019 implementation of the national digital health strategy. As Colombia's premier destination for medical tourism (attracting 185,000 international patients annually), the city houses 37 tertiary care hospitals and over 65 private surgical centers. The Surgeon platform—comprising AI-powered pre-operative planning software, real-time intraoperative guidance, and post-procedure analytics—directly addresses Medellín's critical needs: reducing surgical complications (currently at 8.7% nationally), optimizing OR utilization (avg. 62% in Colombian hospitals vs. 85% globally), and lowering costs for both public and private facilities.</w:t>
      </w:r>
    </w:p>
    <w:p>
      <w:pPr>
        <w:pStyle w:val="BodyText"/>
      </w:pPr>
      <w:r>
        <w:t xml:space="preserve">Key regional trends driving Surgeon adoption include:</w:t>
      </w:r>
    </w:p>
    <w:p>
      <w:pPr>
        <w:numPr>
          <w:ilvl w:val="0"/>
          <w:numId w:val="1001"/>
        </w:numPr>
        <w:pStyle w:val="Compact"/>
      </w:pPr>
      <w:r>
        <w:t xml:space="preserve">Medellín's new $48M Regional Surgical Innovation Center (opened Q1 2024) now mandates advanced navigation systems for all complex procedures</w:t>
      </w:r>
    </w:p>
    <w:p>
      <w:pPr>
        <w:numPr>
          <w:ilvl w:val="0"/>
          <w:numId w:val="1001"/>
        </w:numPr>
        <w:pStyle w:val="Compact"/>
      </w:pPr>
      <w:r>
        <w:t xml:space="preserve">73% of Medellín-based orthopedic surgeons report needing enhanced precision tools to handle Colombia's rising obesity-related joint replacement demand</w:t>
      </w:r>
    </w:p>
    <w:p>
      <w:pPr>
        <w:numPr>
          <w:ilvl w:val="0"/>
          <w:numId w:val="1001"/>
        </w:numPr>
        <w:pStyle w:val="Compact"/>
      </w:pPr>
      <w:r>
        <w:t xml:space="preserve">The Colombian Ministry of Health's "Digital Surgery 2030" initiative provides 25% tax incentives for accredited AI surgical technologies</w:t>
      </w:r>
    </w:p>
    <w:bookmarkEnd w:id="21"/>
    <w:bookmarkStart w:id="22" w:name="sales-performance-q3-2024-metrics"/>
    <w:p>
      <w:pPr>
        <w:pStyle w:val="Heading2"/>
      </w:pPr>
      <w:r>
        <w:t xml:space="preserve">Sales Performance: Q3 2024 Metrics</w:t>
      </w:r>
    </w:p>
    <w:p>
      <w:pPr>
        <w:pStyle w:val="FirstParagraph"/>
      </w:pPr>
      <w:r>
        <w:t xml:space="preserve">Product Tier</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Top Hospitals Acquired</w:t>
      </w:r>
    </w:p>
    <w:p>
      <w:pPr>
        <w:pStyle w:val="BodyText"/>
      </w:pPr>
      <w:r>
        <w:t xml:space="preserve">Surgeon Essential (Basic Navigation)</w:t>
      </w:r>
    </w:p>
    <w:p>
      <w:pPr>
        <w:pStyle w:val="BodyText"/>
      </w:pPr>
      <w:r>
        <w:t xml:space="preserve">18</w:t>
      </w:r>
    </w:p>
    <w:p>
      <w:pPr>
        <w:pStyle w:val="BodyText"/>
      </w:pPr>
      <w:r>
        <w:t xml:space="preserve">$486,000</w:t>
      </w:r>
    </w:p>
    <w:p>
      <w:pPr>
        <w:pStyle w:val="BodyText"/>
      </w:pPr>
      <w:r>
        <w:t xml:space="preserve">+37%</w:t>
      </w:r>
    </w:p>
    <w:p>
      <w:pPr>
        <w:pStyle w:val="BodyText"/>
      </w:pPr>
      <w:r>
        <w:t xml:space="preserve">Clinica las Américas, Hospital Universitario San Vicente Fundación</w:t>
      </w:r>
    </w:p>
    <w:p>
      <w:pPr>
        <w:pStyle w:val="BodyText"/>
      </w:pPr>
      <w:r>
        <w:t xml:space="preserve">Surgeon Advanced (AI Analytics Suite)</w:t>
      </w:r>
    </w:p>
    <w:p>
      <w:pPr>
        <w:pStyle w:val="BodyText"/>
      </w:pPr>
      <w:r>
        <w:t xml:space="preserve">12</w:t>
      </w:r>
    </w:p>
    <w:p>
      <w:pPr>
        <w:pStyle w:val="BodyText"/>
      </w:pPr>
      <w:r>
        <w:t xml:space="preserve">$768,000</w:t>
      </w:r>
    </w:p>
    <w:p>
      <w:pPr>
        <w:pStyle w:val="BodyText"/>
      </w:pPr>
      <w:r>
        <w:t xml:space="preserve">+51%</w:t>
      </w:r>
    </w:p>
    <w:p>
      <w:pPr>
        <w:pStyle w:val="BodyText"/>
      </w:pPr>
      <w:r>
        <w:t xml:space="preserve">Hospital Pablo Tobón Uribe, Clinica Santa María</w:t>
      </w:r>
    </w:p>
    <w:p>
      <w:pPr>
        <w:pStyle w:val="BodyText"/>
      </w:pPr>
      <w:r>
        <w:t xml:space="preserve">Surgeon Enterprise (Full Hospital Integration)</w:t>
      </w:r>
    </w:p>
    <w:p>
      <w:pPr>
        <w:pStyle w:val="BodyText"/>
      </w:pPr>
      <w:r>
        <w:t xml:space="preserve">5</w:t>
      </w:r>
    </w:p>
    <w:p>
      <w:pPr>
        <w:pStyle w:val="BodyText"/>
      </w:pPr>
      <w:r>
        <w:t xml:space="preserve">$1,480,000</w:t>
      </w:r>
    </w:p>
    <w:p>
      <w:pPr>
        <w:pStyle w:val="BodyText"/>
      </w:pPr>
      <w:r>
        <w:t xml:space="preserve">+63%</w:t>
      </w:r>
    </w:p>
    <w:p>
      <w:pPr>
        <w:pStyle w:val="BodyText"/>
      </w:pPr>
      <w:r>
        <w:t xml:space="preserve">Clinica del Country, Fundación Valle del Cauca</w:t>
      </w:r>
    </w:p>
    <w:p>
      <w:pPr>
        <w:pStyle w:val="BodyText"/>
      </w:pPr>
      <w:r>
        <w:rPr>
          <w:bCs/>
          <w:b/>
        </w:rPr>
        <w:t xml:space="preserve">Total Q3 2024</w:t>
      </w:r>
    </w:p>
    <w:p>
      <w:pPr>
        <w:pStyle w:val="BodyText"/>
      </w:pPr>
      <w:r>
        <w:rPr>
          <w:bCs/>
          <w:b/>
        </w:rPr>
        <w:t xml:space="preserve">35 units</w:t>
      </w:r>
    </w:p>
    <w:p>
      <w:pPr>
        <w:pStyle w:val="BodyText"/>
      </w:pPr>
      <w:r>
        <w:rPr>
          <w:bCs/>
          <w:b/>
        </w:rPr>
        <w:t xml:space="preserve">$2,734,000</w:t>
      </w:r>
    </w:p>
    <w:p>
      <w:pPr>
        <w:pStyle w:val="BodyText"/>
      </w:pPr>
      <w:r>
        <w:rPr>
          <w:bCs/>
          <w:b/>
        </w:rPr>
        <w:t xml:space="preserve">42% YoY</w:t>
      </w:r>
    </w:p>
    <w:p>
      <w:pPr>
        <w:pStyle w:val="BodyText"/>
      </w:pPr>
      <w:r>
        <w:t xml:space="preserve">18 new healthcare facilities onboarded</w:t>
      </w:r>
    </w:p>
    <w:bookmarkEnd w:id="22"/>
    <w:bookmarkStart w:id="26" w:name="X7ba2abdbb93dd412faee43813294116f2cbfe57"/>
    <w:p>
      <w:pPr>
        <w:pStyle w:val="Heading2"/>
      </w:pPr>
      <w:r>
        <w:t xml:space="preserve">Strategic Growth Drivers in Colombia Medellín</w:t>
      </w:r>
    </w:p>
    <w:p>
      <w:pPr>
        <w:pStyle w:val="FirstParagraph"/>
      </w:pPr>
      <w:r>
        <w:t xml:space="preserve">Our success in Medellín stems from three targeted initiatives specifically designed for Colombia's market:</w:t>
      </w:r>
    </w:p>
    <w:bookmarkStart w:id="23" w:name="localized-implementation-partnerships"/>
    <w:p>
      <w:pPr>
        <w:pStyle w:val="Heading3"/>
      </w:pPr>
      <w:r>
        <w:t xml:space="preserve">1. Localized Implementation Partnerships</w:t>
      </w:r>
    </w:p>
    <w:p>
      <w:pPr>
        <w:pStyle w:val="FirstParagraph"/>
      </w:pPr>
      <w:r>
        <w:t xml:space="preserve">We formed a strategic alliance with Medellín-based digital health agency "Innovacor" to provide culturally tailored training. This partnership reduced onboarding time by 58% and directly contributed to 76% of Q3 sales. For example, Surgeon's interface was adapted to include Spanish-language surgical terminology specific to Colombian orthopedic practices, which accelerated adoption at Hospital San José.</w:t>
      </w:r>
    </w:p>
    <w:bookmarkEnd w:id="23"/>
    <w:bookmarkStart w:id="24" w:name="government-compliance-strategy"/>
    <w:p>
      <w:pPr>
        <w:pStyle w:val="Heading3"/>
      </w:pPr>
      <w:r>
        <w:t xml:space="preserve">2. Government Compliance Strategy</w:t>
      </w:r>
    </w:p>
    <w:p>
      <w:pPr>
        <w:pStyle w:val="FirstParagraph"/>
      </w:pPr>
      <w:r>
        <w:t xml:space="preserve">Our team secured COLCIENCIAS certification (Colombia's science and technology authority) for Surgeon in Q2 2024—critical for public hospital procurement. This enabled direct contracts with the Department of Antioquia's healthcare network, representing 41% of our total Q3 revenue. The certification process involved rigorous validation against Colombia's "Technical Requirements for Surgical Software" (NTC 5897:2023), a milestone our competitors have yet to achieve.</w:t>
      </w:r>
    </w:p>
    <w:bookmarkEnd w:id="24"/>
    <w:bookmarkStart w:id="25" w:name="medellín-medical-tourism-integration"/>
    <w:p>
      <w:pPr>
        <w:pStyle w:val="Heading3"/>
      </w:pPr>
      <w:r>
        <w:t xml:space="preserve">3. Medellín Medical Tourism Integration</w:t>
      </w:r>
    </w:p>
    <w:p>
      <w:pPr>
        <w:pStyle w:val="FirstParagraph"/>
      </w:pPr>
      <w:r>
        <w:t xml:space="preserve">We capitalized on Medellín's status as a global medical tourism destination by implementing Surgeon at facilities serving international patients. The system's multilingual dashboard and compatibility with major health insurance platforms (including AXA, MAPFRE) became key selling points for clinics like Clinica de la Costa. This initiative generated $620,000 in revenue from 14 international patient procedures during Q3 alone.</w:t>
      </w:r>
    </w:p>
    <w:bookmarkEnd w:id="25"/>
    <w:bookmarkEnd w:id="26"/>
    <w:bookmarkStart w:id="27" w:name="challenges-and-strategic-adjustments"/>
    <w:p>
      <w:pPr>
        <w:pStyle w:val="Heading2"/>
      </w:pPr>
      <w:r>
        <w:t xml:space="preserve">Challenges and Strategic Adjustments</w:t>
      </w:r>
    </w:p>
    <w:p>
      <w:pPr>
        <w:pStyle w:val="FirstParagraph"/>
      </w:pPr>
      <w:r>
        <w:t xml:space="preserve">Despite robust growth, we encountered significant hurdles requiring agile response:</w:t>
      </w:r>
    </w:p>
    <w:p>
      <w:pPr>
        <w:numPr>
          <w:ilvl w:val="0"/>
          <w:numId w:val="1002"/>
        </w:numPr>
        <w:pStyle w:val="Compact"/>
      </w:pPr>
      <w:r>
        <w:rPr>
          <w:bCs/>
          <w:b/>
        </w:rPr>
        <w:t xml:space="preserve">Payment Processing Delays:</w:t>
      </w:r>
      <w:r>
        <w:t xml:space="preserve"> </w:t>
      </w:r>
      <w:r>
        <w:t xml:space="preserve">Colombian banks' ACH system delays caused 17% of Q3 invoices to be processed beyond payment terms. Solution: Implemented direct credit line agreements with Banco de Bogotá for Medellín-based clients, reducing payment cycles by 28 days.</w:t>
      </w:r>
    </w:p>
    <w:p>
      <w:pPr>
        <w:numPr>
          <w:ilvl w:val="0"/>
          <w:numId w:val="1002"/>
        </w:numPr>
        <w:pStyle w:val="Compact"/>
      </w:pPr>
      <w:r>
        <w:rPr>
          <w:bCs/>
          <w:b/>
        </w:rPr>
        <w:t xml:space="preserve">Technical Infrastructure Gaps:</w:t>
      </w:r>
      <w:r>
        <w:t xml:space="preserve"> </w:t>
      </w:r>
      <w:r>
        <w:t xml:space="preserve">29% of hospitals lacked reliable fiber internet for Surgeon's cloud platform. Solution: Partnered with Movistar to deploy dedicated medical-grade Wi-Fi at all new installations—increasing system uptime from 89% to 97.6%.</w:t>
      </w:r>
    </w:p>
    <w:p>
      <w:pPr>
        <w:numPr>
          <w:ilvl w:val="0"/>
          <w:numId w:val="1002"/>
        </w:numPr>
        <w:pStyle w:val="Compact"/>
      </w:pPr>
      <w:r>
        <w:rPr>
          <w:bCs/>
          <w:b/>
        </w:rPr>
        <w:t xml:space="preserve">Cultural Adoption Resistance:</w:t>
      </w:r>
      <w:r>
        <w:t xml:space="preserve"> </w:t>
      </w:r>
      <w:r>
        <w:t xml:space="preserve">Senior surgeons initially skeptical of AI tools. Solution: Launched "Surgeon Ambassador" program featuring respected Medellín orthopedic leaders (e.g., Dr. Sofia Montoya, Head of Orthopedics at Clinica del Country) as product champions.</w:t>
      </w:r>
    </w:p>
    <w:bookmarkEnd w:id="27"/>
    <w:bookmarkStart w:id="28" w:name="q4-2024-strategic-outlook"/>
    <w:p>
      <w:pPr>
        <w:pStyle w:val="Heading2"/>
      </w:pPr>
      <w:r>
        <w:t xml:space="preserve">Q4 2024 Strategic Outlook</w:t>
      </w:r>
    </w:p>
    <w:p>
      <w:pPr>
        <w:pStyle w:val="FirstParagraph"/>
      </w:pPr>
      <w:r>
        <w:t xml:space="preserve">Building on Q3 momentum, we are positioning the Surgeon platform for sustained leadership in Colombia Medellín through:</w:t>
      </w:r>
    </w:p>
    <w:p>
      <w:pPr>
        <w:numPr>
          <w:ilvl w:val="0"/>
          <w:numId w:val="1003"/>
        </w:numPr>
        <w:pStyle w:val="Compact"/>
      </w:pPr>
      <w:r>
        <w:rPr>
          <w:bCs/>
          <w:b/>
        </w:rPr>
        <w:t xml:space="preserve">Local Manufacturing Hub:</w:t>
      </w:r>
      <w:r>
        <w:t xml:space="preserve"> </w:t>
      </w:r>
      <w:r>
        <w:t xml:space="preserve">Establishing a maintenance facility at Medellín's Innovation Park to reduce equipment repair times from 14 to 48 hours</w:t>
      </w:r>
    </w:p>
    <w:p>
      <w:pPr>
        <w:numPr>
          <w:ilvl w:val="0"/>
          <w:numId w:val="1003"/>
        </w:numPr>
        <w:pStyle w:val="Compact"/>
      </w:pPr>
      <w:r>
        <w:rPr>
          <w:bCs/>
          <w:b/>
        </w:rPr>
        <w:t xml:space="preserve">Surgical Training Consortium:</w:t>
      </w:r>
      <w:r>
        <w:t xml:space="preserve"> </w:t>
      </w:r>
      <w:r>
        <w:t xml:space="preserve">Launching partnership with University of Antioquia to create Colombia's first Surgeon-certified surgical residency program</w:t>
      </w:r>
    </w:p>
    <w:p>
      <w:pPr>
        <w:numPr>
          <w:ilvl w:val="0"/>
          <w:numId w:val="1003"/>
        </w:numPr>
        <w:pStyle w:val="Compact"/>
      </w:pPr>
      <w:r>
        <w:rPr>
          <w:bCs/>
          <w:b/>
        </w:rPr>
        <w:t xml:space="preserve">AI Model Localization:</w:t>
      </w:r>
      <w:r>
        <w:t xml:space="preserve"> </w:t>
      </w:r>
      <w:r>
        <w:t xml:space="preserve">Developing region-specific algorithms for prevalent conditions like osteoarthritis in the Andean population</w:t>
      </w:r>
    </w:p>
    <w:p>
      <w:pPr>
        <w:pStyle w:val="FirstParagraph"/>
      </w:pPr>
      <w:r>
        <w:t xml:space="preserve">The Medellín market represents a $28.6M opportunity for Surgeon, with our current 31% share demonstrating strong foundation for dominance. As Colombia's healthcare infrastructure continues evolving under President Petro's digital health agenda, the Surgeon product is not merely a sales item but a catalyst for advancing surgical excellence across all of Colombia Medellín.</w:t>
      </w:r>
    </w:p>
    <w:bookmarkEnd w:id="28"/>
    <w:bookmarkStart w:id="29" w:name="conclusion"/>
    <w:p>
      <w:pPr>
        <w:pStyle w:val="Heading2"/>
      </w:pPr>
      <w:r>
        <w:t xml:space="preserve">Conclusion</w:t>
      </w:r>
    </w:p>
    <w:p>
      <w:pPr>
        <w:pStyle w:val="FirstParagraph"/>
      </w:pPr>
      <w:r>
        <w:t xml:space="preserve">The Q3 2024 Sales Report confirms that our strategic investment in the Colombia Medellín market has yielded exceptional returns. The Surgeon platform has transcended traditional medical device status to become an indispensable tool for precision surgery in this critical Colombian healthcare ecosystem. By deeply integrating with Medellín's unique institutional, cultural, and technological context, we've built sustainable growth that outperforms regional competitors by 27%. As we enter Q4 with a pipeline of $3.8M in signed contracts (including three major public hospital systems), the Surgeon brand is firmly positioned as the standard for surgical innovation across Colombia Medellín—and the foundation for nationwide expansion.</w:t>
      </w:r>
    </w:p>
    <w:p>
      <w:pPr>
        <w:pStyle w:val="BodyText"/>
      </w:pPr>
      <w:r>
        <w:t xml:space="preserve">Prepared by:</w:t>
      </w:r>
    </w:p>
    <w:p>
      <w:pPr>
        <w:pStyle w:val="BodyText"/>
      </w:pPr>
      <w:r>
        <w:t xml:space="preserve">Ana María Rodríguez</w:t>
      </w:r>
    </w:p>
    <w:p>
      <w:pPr>
        <w:pStyle w:val="BodyText"/>
      </w:pPr>
      <w:r>
        <w:t xml:space="preserve">Regional Sales Director, Latin America</w:t>
      </w:r>
    </w:p>
    <w:p>
      <w:pPr>
        <w:pStyle w:val="BodyText"/>
      </w:pPr>
      <w:r>
        <w:rPr>
          <w:bCs/>
          <w:b/>
        </w:rPr>
        <w:t xml:space="preserve">Key Metric Spotlight:</w:t>
      </w:r>
      <w:r>
        <w:t xml:space="preserve"> </w:t>
      </w:r>
      <w:r>
        <w:t xml:space="preserve">In Medellín, Surgeon has reduced average surgical procedure time by 22% (from 117 to 91 minutes) across orthopedic cases, directly contributing to $6.2M in annual OR efficiency savings for our clients—proving that the Surgeon product delivers both clinical and commercial value in Colombia's most competitive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Product Line - Colombia Medellín Market</dc:title>
  <dc:creator/>
  <dc:language>en</dc:language>
  <cp:keywords/>
  <dcterms:created xsi:type="dcterms:W3CDTF">2025-12-10T12:16:25Z</dcterms:created>
  <dcterms:modified xsi:type="dcterms:W3CDTF">2025-12-10T12:16:25Z</dcterms:modified>
</cp:coreProperties>
</file>

<file path=docProps/custom.xml><?xml version="1.0" encoding="utf-8"?>
<Properties xmlns="http://schemas.openxmlformats.org/officeDocument/2006/custom-properties" xmlns:vt="http://schemas.openxmlformats.org/officeDocument/2006/docPropsVTypes"/>
</file>