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Launch</w:t>
      </w:r>
      <w:r>
        <w:t xml:space="preserve"> </w:t>
      </w:r>
      <w:r>
        <w:t xml:space="preserve">-</w:t>
      </w:r>
      <w:r>
        <w:t xml:space="preserve"> </w:t>
      </w:r>
      <w:r>
        <w:t xml:space="preserve">Germany</w:t>
      </w:r>
      <w:r>
        <w:t xml:space="preserve"> </w:t>
      </w:r>
      <w:r>
        <w:t xml:space="preserve">Frankfurt</w:t>
      </w:r>
      <w:r>
        <w:t xml:space="preserve"> </w:t>
      </w:r>
      <w:r>
        <w:t xml:space="preserve">Market</w:t>
      </w:r>
    </w:p>
    <w:bookmarkStart w:id="27" w:name="X4da386d4c0dcfd2162e9384cfb86670c66d7b9c"/>
    <w:p>
      <w:pPr>
        <w:pStyle w:val="Heading1"/>
      </w:pPr>
      <w:r>
        <w:t xml:space="preserve">ANNUAL SALES REPORT: SURGEON PRODUCT LAUNCH - GERMANY FRANKFURT MARKET</w:t>
      </w:r>
    </w:p>
    <w:p>
      <w:pPr>
        <w:pStyle w:val="FirstParagraph"/>
      </w:pPr>
      <w:r>
        <w:rPr>
          <w:bCs/>
          <w:b/>
        </w:rPr>
        <w:t xml:space="preserve">Prepared For:</w:t>
      </w:r>
      <w:r>
        <w:t xml:space="preserve"> </w:t>
      </w:r>
      <w:r>
        <w:t xml:space="preserve">Global Surgical Solutions Management Team</w:t>
      </w:r>
    </w:p>
    <w:p>
      <w:pPr>
        <w:pStyle w:val="BodyText"/>
      </w:pPr>
      <w:r>
        <w:rPr>
          <w:bCs/>
          <w:b/>
        </w:rPr>
        <w:t xml:space="preserve">Period Covered:</w:t>
      </w:r>
      <w:r>
        <w:t xml:space="preserve"> </w:t>
      </w:r>
      <w:r>
        <w:t xml:space="preserve">January 1, 2023 - December 31, 2023</w:t>
      </w:r>
    </w:p>
    <w:p>
      <w:pPr>
        <w:pStyle w:val="BodyText"/>
      </w:pPr>
      <w:r>
        <w:rPr>
          <w:bCs/>
          <w:b/>
        </w:rPr>
        <w:t xml:space="preserve">Prepared By:</w:t>
      </w:r>
      <w:r>
        <w:t xml:space="preserve"> </w:t>
      </w:r>
      <w:r>
        <w:t xml:space="preserve">Frankfurt Regional Sales Operations (Germany)</w:t>
      </w:r>
    </w:p>
    <w:p>
      <w:pPr>
        <w:pStyle w:val="BodyText"/>
      </w:pPr>
      <w:r>
        <w:rPr>
          <w:bCs/>
          <w:b/>
        </w:rPr>
        <w:t xml:space="preserve">Date:</w:t>
      </w:r>
      <w:r>
        <w:t xml:space="preserve"> </w:t>
      </w:r>
      <w:r>
        <w:t xml:space="preserve">February 15, 2024</w:t>
      </w:r>
    </w:p>
    <w:bookmarkStart w:id="20" w:name="Xcafb82cecae5c0036353baf4d998c068c8e3f8b"/>
    <w:p>
      <w:pPr>
        <w:pStyle w:val="Heading2"/>
      </w:pPr>
      <w:r>
        <w:t xml:space="preserve">Executive Summary: Surgeon Product Performance in Germany Frankfurt</w:t>
      </w:r>
    </w:p>
    <w:p>
      <w:pPr>
        <w:pStyle w:val="FirstParagraph"/>
      </w:pPr>
      <w:r>
        <w:t xml:space="preserve">This comprehensive Sales Report details the market performance of our flagship surgical technology product "SURGEON™" across the critical Frankfurt metropolitan region. As Germany's premier financial and medical hub, Frankfurt presents unparalleled opportunities for high-value healthcare technology adoption. The SURGEON™ system—a cutting-edge AI-driven surgical navigation platform—has achieved remarkable traction since its regional launch in Q3 2023, demonstrating a 47% year-over-year growth in the German surgical technology market. This report confirms Frankfurt's status as the most strategically significant city for our Surgeon product deployment, accounting for 68% of all Germany-wide sales within six months of launch.</w:t>
      </w:r>
    </w:p>
    <w:bookmarkEnd w:id="20"/>
    <w:bookmarkStart w:id="21" w:name="market-context-why-frankfurt-why-surgeon"/>
    <w:p>
      <w:pPr>
        <w:pStyle w:val="Heading2"/>
      </w:pPr>
      <w:r>
        <w:t xml:space="preserve">Market Context: Why Frankfurt? Why Surgeon?</w:t>
      </w:r>
    </w:p>
    <w:p>
      <w:pPr>
        <w:pStyle w:val="FirstParagraph"/>
      </w:pPr>
      <w:r>
        <w:t xml:space="preserve">Frankfurt serves as Germany's medical innovation epicenter with over 45 major hospitals and clinics including the University Hospital Frankfurt (UKF), Städtisches Klinikum, and German Heart Center. This concentration of high-volume surgical facilities creates an ideal ecosystem for introducing advanced technology like our SURGEON™ platform. The product addresses critical pain points in modern surgery: reducing procedure times by 22%, minimizing human error by 31%, and enabling complex minimally invasive operations previously deemed too risky. In Germany's highly regulated healthcare landscape, where the statutory health insurance (GKV) system demands cost-effective solutions without compromising quality, SURGEON™ delivers precise value alignment—reducing hospital costs while improving patient outcomes.</w:t>
      </w:r>
    </w:p>
    <w:p>
      <w:pPr>
        <w:pStyle w:val="BodyText"/>
      </w:pPr>
      <w:r>
        <w:t xml:space="preserve">Germany Frankfurt specifically represents 37% of all surgical technology investments in continental Europe. Our decision to prioritize this market was validated by the region's strong adoption rate of digital health tools, supported by government initiatives like "Digital Health Care 2030." The SURGEON™ product—designed with German medical standards (DGUV) and EudraLex compliance—has become the preferred choice among Frankfurt-based surgeons seeking to modernize operating rooms.</w:t>
      </w:r>
    </w:p>
    <w:bookmarkEnd w:id="21"/>
    <w:bookmarkStart w:id="22" w:name="X693ae2f6028eb7ceca44d9142d4232171a60e73"/>
    <w:p>
      <w:pPr>
        <w:pStyle w:val="Heading2"/>
      </w:pPr>
      <w:r>
        <w:t xml:space="preserve">Sales Performance Overview: Germany Frankfurt Surgeon Product Metrics</w:t>
      </w:r>
    </w:p>
    <w:p>
      <w:pPr>
        <w:pStyle w:val="FirstParagraph"/>
      </w:pPr>
      <w:r>
        <w:t xml:space="preserve">Key Performance Indicator</w:t>
      </w:r>
    </w:p>
    <w:p>
      <w:pPr>
        <w:pStyle w:val="BodyText"/>
      </w:pPr>
      <w:r>
        <w:t xml:space="preserve">Q3 2023 (Launch)</w:t>
      </w:r>
    </w:p>
    <w:p>
      <w:pPr>
        <w:pStyle w:val="BodyText"/>
      </w:pPr>
      <w:r>
        <w:t xml:space="preserve">Q4 2023</w:t>
      </w:r>
    </w:p>
    <w:p>
      <w:pPr>
        <w:pStyle w:val="BodyText"/>
      </w:pPr>
      <w:r>
        <w:t xml:space="preserve">H1 2024 (Projection)</w:t>
      </w:r>
    </w:p>
    <w:p>
      <w:pPr>
        <w:pStyle w:val="BodyText"/>
      </w:pPr>
      <w:r>
        <w:t xml:space="preserve">YTD Growth vs. Frankfurt Market Avg.</w:t>
      </w:r>
    </w:p>
    <w:p>
      <w:pPr>
        <w:pStyle w:val="BodyText"/>
      </w:pPr>
      <w:r>
        <w:t xml:space="preserve">SURGEON™ Units Sold in Frankfurt</w:t>
      </w:r>
    </w:p>
    <w:p>
      <w:pPr>
        <w:pStyle w:val="BodyText"/>
      </w:pPr>
      <w:r>
        <w:t xml:space="preserve">17 units</w:t>
      </w:r>
    </w:p>
    <w:p>
      <w:pPr>
        <w:pStyle w:val="BodyText"/>
      </w:pPr>
      <w:r>
        <w:t xml:space="preserve">42 units</w:t>
      </w:r>
    </w:p>
    <w:p>
      <w:pPr>
        <w:pStyle w:val="BodyText"/>
      </w:pPr>
      <w:r>
        <w:t xml:space="preserve">68 units (Est.)</w:t>
      </w:r>
    </w:p>
    <w:p>
      <w:pPr>
        <w:pStyle w:val="BodyText"/>
      </w:pPr>
      <w:r>
        <w:t xml:space="preserve">+219%</w:t>
      </w:r>
    </w:p>
    <w:p>
      <w:pPr>
        <w:pStyle w:val="BodyText"/>
      </w:pPr>
      <w:r>
        <w:t xml:space="preserve">Total Revenue Generated (€)</w:t>
      </w:r>
    </w:p>
    <w:p>
      <w:pPr>
        <w:pStyle w:val="BodyText"/>
      </w:pPr>
      <w:r>
        <w:t xml:space="preserve">€385,000</w:t>
      </w:r>
    </w:p>
    <w:p>
      <w:pPr>
        <w:pStyle w:val="BodyText"/>
      </w:pPr>
      <w:r>
        <w:t xml:space="preserve">€945,000</w:t>
      </w:r>
    </w:p>
    <w:p>
      <w:pPr>
        <w:pStyle w:val="BodyText"/>
      </w:pPr>
      <w:r>
        <w:t xml:space="preserve">€1.6M (Est.)</w:t>
      </w:r>
    </w:p>
    <w:p>
      <w:pPr>
        <w:pStyle w:val="BodyText"/>
      </w:pPr>
      <w:r>
        <w:t xml:space="preserve">+283%</w:t>
      </w:r>
    </w:p>
    <w:p>
      <w:pPr>
        <w:pStyle w:val="BodyText"/>
      </w:pPr>
      <w:r>
        <w:t xml:space="preserve">Clinic Adoption Rate</w:t>
      </w:r>
    </w:p>
    <w:p>
      <w:pPr>
        <w:pStyle w:val="BodyText"/>
      </w:pPr>
      <w:r>
        <w:t xml:space="preserve">7 hospitals</w:t>
      </w:r>
    </w:p>
    <w:p>
      <w:pPr>
        <w:pStyle w:val="BodyText"/>
      </w:pPr>
      <w:r>
        <w:t xml:space="preserve">28 hospitals</w:t>
      </w:r>
    </w:p>
    <w:p>
      <w:pPr>
        <w:pStyle w:val="BodyText"/>
      </w:pPr>
      <w:r>
        <w:t xml:space="preserve">45+ hospitals (Est.)</w:t>
      </w:r>
    </w:p>
    <w:p>
      <w:pPr>
        <w:pStyle w:val="BodyText"/>
      </w:pPr>
      <w:r>
        <w:t xml:space="preserve">Gross Margin per Unit (€)</w:t>
      </w:r>
    </w:p>
    <w:p>
      <w:pPr>
        <w:pStyle w:val="BodyText"/>
      </w:pPr>
      <w:r>
        <w:t xml:space="preserve">€43,000</w:t>
      </w:r>
    </w:p>
    <w:p>
      <w:pPr>
        <w:pStyle w:val="BodyText"/>
      </w:pPr>
      <w:r>
        <w:t xml:space="preserve">€46,200</w:t>
      </w:r>
    </w:p>
    <w:p>
      <w:pPr>
        <w:pStyle w:val="BodyText"/>
      </w:pPr>
      <w:r>
        <w:t xml:space="preserve">N/A</w:t>
      </w:r>
    </w:p>
    <w:p>
      <w:pPr>
        <w:pStyle w:val="BodyText"/>
      </w:pPr>
      <w:r>
        <w:t xml:space="preserve">The Frankfurt sales momentum accelerated dramatically after securing the University Hospital Frankfurt (UKF) as our first major institutional client in September 2023. This strategic partnership triggered a network effect, with 19 additional clinics adopting SURGEON™ within two months due to UKF's clinical validation and peer recommendations. Notably, 83% of all Frankfurt Surgeon deployments occurred in orthopedic and neurosurgical departments—areas where precision is non-negotiable.</w:t>
      </w:r>
    </w:p>
    <w:bookmarkEnd w:id="22"/>
    <w:bookmarkStart w:id="23" w:name="competitive-landscape-analysis"/>
    <w:p>
      <w:pPr>
        <w:pStyle w:val="Heading2"/>
      </w:pPr>
      <w:r>
        <w:t xml:space="preserve">Competitive Landscape Analysis</w:t>
      </w:r>
    </w:p>
    <w:p>
      <w:pPr>
        <w:pStyle w:val="FirstParagraph"/>
      </w:pPr>
      <w:r>
        <w:t xml:space="preserve">Germany's surgical technology market features intense competition from established players like Medtronic and Stryker. However, our SURGEON™ product has carved a distinct niche through its AI-driven real-time feedback system—a feature absent in competitors' offerings. In Frankfurt specifically, we've captured 27% of the high-end surgical navigation segment (€100k+ per unit), outperforming Medtronic's market share by 14 points. This success stems from our tailored approach to German surgical workflows: the product integrates seamlessly with existing hospital information systems (HIS) like SAP and Cerner, eliminating costly IT overhauls required by competitors.</w:t>
      </w:r>
    </w:p>
    <w:p>
      <w:pPr>
        <w:pStyle w:val="BodyText"/>
      </w:pPr>
      <w:r>
        <w:t xml:space="preserve">Key differentiators for Frankfurt surgeons include:</w:t>
      </w:r>
    </w:p>
    <w:p>
      <w:pPr>
        <w:numPr>
          <w:ilvl w:val="0"/>
          <w:numId w:val="1001"/>
        </w:numPr>
        <w:pStyle w:val="Compact"/>
      </w:pPr>
      <w:r>
        <w:rPr>
          <w:bCs/>
          <w:b/>
        </w:rPr>
        <w:t xml:space="preserve">Language Compliance:</w:t>
      </w:r>
      <w:r>
        <w:t xml:space="preserve"> </w:t>
      </w:r>
      <w:r>
        <w:t xml:space="preserve">Full German interface with clinically validated terminology</w:t>
      </w:r>
    </w:p>
    <w:p>
      <w:pPr>
        <w:numPr>
          <w:ilvl w:val="0"/>
          <w:numId w:val="1001"/>
        </w:numPr>
        <w:pStyle w:val="Compact"/>
      </w:pPr>
      <w:r>
        <w:rPr>
          <w:bCs/>
          <w:b/>
        </w:rPr>
        <w:t xml:space="preserve">Clinical Proof:</w:t>
      </w:r>
      <w:r>
        <w:t xml:space="preserve"> </w:t>
      </w:r>
      <w:r>
        <w:t xml:space="preserve">43 published case studies from Frankfurt hospitals</w:t>
      </w:r>
    </w:p>
    <w:p>
      <w:pPr>
        <w:numPr>
          <w:ilvl w:val="0"/>
          <w:numId w:val="1001"/>
        </w:numPr>
        <w:pStyle w:val="Compact"/>
      </w:pPr>
      <w:r>
        <w:rPr>
          <w:bCs/>
          <w:b/>
        </w:rPr>
        <w:t xml:space="preserve">Sustainability Focus:</w:t>
      </w:r>
      <w:r>
        <w:t xml:space="preserve"> </w:t>
      </w:r>
      <w:r>
        <w:t xml:space="preserve">15% lower energy consumption vs. market average, aligning with Germany's Green Healthcare Initiative</w:t>
      </w:r>
    </w:p>
    <w:bookmarkEnd w:id="23"/>
    <w:bookmarkStart w:id="24" w:name="X478886fd17afd39e9b878c6a598831f6f086bfe"/>
    <w:p>
      <w:pPr>
        <w:pStyle w:val="Heading2"/>
      </w:pPr>
      <w:r>
        <w:t xml:space="preserve">Challenges and Strategic Adjustments (Frankfurt Experience)</w:t>
      </w:r>
    </w:p>
    <w:p>
      <w:pPr>
        <w:pStyle w:val="FirstParagraph"/>
      </w:pPr>
      <w:r>
        <w:t xml:space="preserve">Initial adoption hurdles in Frankfurt centered on reimbursement complexities. Unlike the US system, Germany requires specific G-BA (Gemeinsamer Bundesausschuss) approval for new technologies to be covered under statutory health insurance. We addressed this by collaborating with German medical associations to fast-track clinical documentation, reducing approval time from 18 months to 7 months. This adjustment proved critical—92% of our Frankfurt sales now benefit from GKV coverage.</w:t>
      </w:r>
    </w:p>
    <w:p>
      <w:pPr>
        <w:pStyle w:val="BodyText"/>
      </w:pPr>
      <w:r>
        <w:t xml:space="preserve">Another challenge was surgeon training resistance, particularly among senior practitioners. Our solution was a "Surgeon Ambassador" program: we trained and certified 23 lead surgeons across Frankfurt hospitals to provide peer-led onboarding. This not only accelerated adoption but created organic advocacy within the surgical community, with 14 of these ambassadors generating new leads through their networks.</w:t>
      </w:r>
    </w:p>
    <w:bookmarkEnd w:id="24"/>
    <w:bookmarkStart w:id="25" w:name="Xbd098843268d2c9850495cc9fd6328caea95088"/>
    <w:p>
      <w:pPr>
        <w:pStyle w:val="Heading2"/>
      </w:pPr>
      <w:r>
        <w:t xml:space="preserve">Future Roadmap: Scaling Surgeon Excellence in Germany</w:t>
      </w:r>
    </w:p>
    <w:p>
      <w:pPr>
        <w:pStyle w:val="FirstParagraph"/>
      </w:pPr>
      <w:r>
        <w:t xml:space="preserve">Based on Frankfurt's success, we recommend expanding the SURGEON™ launch across all major German medical hubs (Munich, Berlin) while doubling down on Frankfurt. Key initiatives for 2024 include:</w:t>
      </w:r>
    </w:p>
    <w:p>
      <w:pPr>
        <w:numPr>
          <w:ilvl w:val="0"/>
          <w:numId w:val="1002"/>
        </w:numPr>
        <w:pStyle w:val="Compact"/>
      </w:pPr>
      <w:r>
        <w:rPr>
          <w:bCs/>
          <w:b/>
        </w:rPr>
        <w:t xml:space="preserve">FRANKFURT INNOVATION CENTER:</w:t>
      </w:r>
      <w:r>
        <w:t xml:space="preserve"> </w:t>
      </w:r>
      <w:r>
        <w:t xml:space="preserve">Establishing a dedicated R&amp;D lab at the University Hospital Frankfurt to co-develop next-gen features with local surgeons</w:t>
      </w:r>
    </w:p>
    <w:p>
      <w:pPr>
        <w:numPr>
          <w:ilvl w:val="0"/>
          <w:numId w:val="1002"/>
        </w:numPr>
        <w:pStyle w:val="Compact"/>
      </w:pPr>
      <w:r>
        <w:rPr>
          <w:bCs/>
          <w:b/>
        </w:rPr>
        <w:t xml:space="preserve">SURGEON™ CONNECT:</w:t>
      </w:r>
      <w:r>
        <w:t xml:space="preserve"> </w:t>
      </w:r>
      <w:r>
        <w:t xml:space="preserve">Launching a subscription-based data analytics service for hospitals to track surgical outcome trends (expected 20% revenue uplift)</w:t>
      </w:r>
    </w:p>
    <w:p>
      <w:pPr>
        <w:numPr>
          <w:ilvl w:val="0"/>
          <w:numId w:val="1002"/>
        </w:numPr>
        <w:pStyle w:val="Compact"/>
      </w:pPr>
      <w:r>
        <w:rPr>
          <w:bCs/>
          <w:b/>
        </w:rPr>
        <w:t xml:space="preserve">TRAINING EXCELLENCE PROGRAM:</w:t>
      </w:r>
      <w:r>
        <w:t xml:space="preserve"> </w:t>
      </w:r>
      <w:r>
        <w:t xml:space="preserve">Partnering with German medical schools to integrate SURGEON™ into surgical residency curricula</w:t>
      </w:r>
    </w:p>
    <w:bookmarkEnd w:id="25"/>
    <w:bookmarkStart w:id="26" w:name="Xd06d8efb8cb72800b9fe9df18104ec5f8c1a65c"/>
    <w:p>
      <w:pPr>
        <w:pStyle w:val="Heading2"/>
      </w:pPr>
      <w:r>
        <w:t xml:space="preserve">Conclusion: Surgeon Product as Frankfurt's Healthcare Catalyst</w:t>
      </w:r>
    </w:p>
    <w:p>
      <w:pPr>
        <w:pStyle w:val="FirstParagraph"/>
      </w:pPr>
      <w:r>
        <w:t xml:space="preserve">The Germany Frankfurt market has unequivocally validated the SURGEON™ product's viability and strategic value. This Sales Report demonstrates that our technology transcends being merely a "surgical tool" – it has become an essential catalyst for modernizing healthcare delivery in one of Europe's most dynamic medical ecosystems. Frankfurt's exceptional adoption rate (3x Germany average) and surgeon satisfaction scores (4.8/5 on user experience surveys) prove that when technology aligns with clinical needs and regional regulations, success follows.</w:t>
      </w:r>
      <w:r>
        <w:t xml:space="preserve"> </w:t>
      </w:r>
      <w:r>
        <w:t xml:space="preserve">As we enter 2024, the Frankfurt Surgeon initiative will serve as our blueprint for global expansion. The city has become synonymous with surgical innovation excellence – a reputation we've earned through relentless focus on German market nuances, surgeon collaboration, and measurable patient impact. Our goal remains clear: to make SURGEON™ the undisputed standard in precision surgery across Germany and beyond.</w:t>
      </w:r>
    </w:p>
    <w:p>
      <w:pPr>
        <w:pStyle w:val="BodyText"/>
      </w:pPr>
      <w:r>
        <w:rPr>
          <w:iCs/>
          <w:i/>
        </w:rPr>
        <w:t xml:space="preserve">This Sales Report reflects proprietary data from Global Surgical Solutions' Frankfurt Regional Office (Registered at Düsseldorf Commercial Register). All figures are verified against German healthcare data registries (GKV-SV, Kassenärztliche Bundesvereinigung).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Product Launch - Germany Frankfurt Market</dc:title>
  <dc:creator/>
  <dc:language>en</dc:language>
  <cp:keywords/>
  <dcterms:created xsi:type="dcterms:W3CDTF">2025-12-11T13:00:13Z</dcterms:created>
  <dcterms:modified xsi:type="dcterms:W3CDTF">2025-12-11T13:00:13Z</dcterms:modified>
</cp:coreProperties>
</file>

<file path=docProps/custom.xml><?xml version="1.0" encoding="utf-8"?>
<Properties xmlns="http://schemas.openxmlformats.org/officeDocument/2006/custom-properties" xmlns:vt="http://schemas.openxmlformats.org/officeDocument/2006/docPropsVTypes"/>
</file>