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Innovation</w:t>
      </w:r>
      <w:r>
        <w:t xml:space="preserve"> </w:t>
      </w:r>
      <w:r>
        <w:t xml:space="preserve">Solutions</w:t>
      </w:r>
      <w:r>
        <w:t xml:space="preserve"> </w:t>
      </w:r>
      <w:r>
        <w:t xml:space="preserve">for</w:t>
      </w:r>
      <w:r>
        <w:t xml:space="preserve"> </w:t>
      </w:r>
      <w:r>
        <w:t xml:space="preserve">Munich's</w:t>
      </w:r>
      <w:r>
        <w:t xml:space="preserve"> </w:t>
      </w:r>
      <w:r>
        <w:t xml:space="preserve">Surgeon</w:t>
      </w:r>
      <w:r>
        <w:t xml:space="preserve"> </w:t>
      </w:r>
      <w:r>
        <w:t xml:space="preserve">Community</w:t>
      </w:r>
    </w:p>
    <w:bookmarkStart w:id="31" w:name="X5f0fe861e3926056078cd8e331d7d4be035fb3b"/>
    <w:p>
      <w:pPr>
        <w:pStyle w:val="Heading1"/>
      </w:pPr>
      <w:r>
        <w:t xml:space="preserve">Quarterly Sales Report: Strategic Growth of Advanced Surgical Solutions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Medical Division</w:t>
      </w:r>
      <w:r>
        <w:br/>
      </w:r>
      <w:r>
        <w:rPr>
          <w:bCs/>
          <w:b/>
        </w:rPr>
        <w:t xml:space="preserve">Purpose:</w:t>
      </w:r>
      <w:r>
        <w:t xml:space="preserve"> </w:t>
      </w:r>
      <w:r>
        <w:t xml:space="preserve">Comprehensive Analysis of Product Sales and Market Dynamics Targeting Surgeons in Munich, Germany</w:t>
      </w:r>
    </w:p>
    <w:bookmarkStart w:id="20" w:name="i.-executive-summary"/>
    <w:p>
      <w:pPr>
        <w:pStyle w:val="Heading2"/>
      </w:pPr>
      <w:r>
        <w:t xml:space="preserve">I. Executive Summary</w:t>
      </w:r>
    </w:p>
    <w:p>
      <w:pPr>
        <w:pStyle w:val="FirstParagraph"/>
      </w:pPr>
      <w:r>
        <w:t xml:space="preserve">This Sales Report details the successful market penetration and revenue growth of our premium surgical instrumentation suite within Munich's elite healthcare ecosystem during Q3 2023. Focused exclusively on serving the needs of highly skilled</w:t>
      </w:r>
      <w:r>
        <w:t xml:space="preserve"> </w:t>
      </w:r>
      <w:r>
        <w:rPr>
          <w:bCs/>
          <w:b/>
        </w:rPr>
        <w:t xml:space="preserve">Surgeon</w:t>
      </w:r>
      <w:r>
        <w:t xml:space="preserve"> </w:t>
      </w:r>
      <w:r>
        <w:t xml:space="preserve">professionals, our strategic initiatives in</w:t>
      </w:r>
      <w:r>
        <w:t xml:space="preserve"> </w:t>
      </w:r>
      <w:r>
        <w:rPr>
          <w:bCs/>
          <w:b/>
        </w:rPr>
        <w:t xml:space="preserve">Germany Munich</w:t>
      </w:r>
      <w:r>
        <w:t xml:space="preserve"> </w:t>
      </w:r>
      <w:r>
        <w:t xml:space="preserve">have yielded a 28% year-over-year increase in sales volume and a 19% expansion in market share within the metropolitan surgical equipment sector. The report confirms Munich as the critical growth engine for our European operations, driven by targeted engagement with leading hospital networks and specialized surgical practices.</w:t>
      </w:r>
    </w:p>
    <w:bookmarkEnd w:id="20"/>
    <w:bookmarkStart w:id="21" w:name="Xe7b50bdf2bff3c63f9665db96516bcd0510bd5d"/>
    <w:p>
      <w:pPr>
        <w:pStyle w:val="Heading2"/>
      </w:pPr>
      <w:r>
        <w:t xml:space="preserve">II. Market Context: Munich's Surgeon Landscape</w:t>
      </w:r>
    </w:p>
    <w:p>
      <w:pPr>
        <w:pStyle w:val="FirstParagraph"/>
      </w:pPr>
      <w:r>
        <w:t xml:space="preserve">Munich represents a pinnacle of medical excellence in</w:t>
      </w:r>
      <w:r>
        <w:t xml:space="preserve"> </w:t>
      </w:r>
      <w:r>
        <w:rPr>
          <w:bCs/>
          <w:b/>
        </w:rPr>
        <w:t xml:space="preserve">Germany</w:t>
      </w:r>
      <w:r>
        <w:t xml:space="preserve">, home to world-renowned institutions like Ludwig Maximilian University Hospital (LMU Klinikum), Klinikum Großhadern, and the German Cancer Research Center. These facilities employ over 1,200 specialized surgeons across orthopedics, neurosurgery, cardiothoracic, and minimally invasive procedures. The</w:t>
      </w:r>
      <w:r>
        <w:t xml:space="preserve"> </w:t>
      </w:r>
      <w:r>
        <w:rPr>
          <w:bCs/>
          <w:b/>
        </w:rPr>
        <w:t xml:space="preserve">Surgeon</w:t>
      </w:r>
      <w:r>
        <w:t xml:space="preserve"> </w:t>
      </w:r>
      <w:r>
        <w:t xml:space="preserve">community here prioritizes precision instrumentation that reduces procedure time while enhancing patient outcomes—a perfect alignment with our core product suite. Munich's robust healthcare infrastructure (ranked #1 in Germany for medical innovation by BMJ 2023) creates an ideal environment for high-value surgical technology adoption.</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Breakdown:</w:t>
      </w:r>
    </w:p>
    <w:p>
      <w:pPr>
        <w:numPr>
          <w:ilvl w:val="0"/>
          <w:numId w:val="1001"/>
        </w:numPr>
        <w:pStyle w:val="Compact"/>
      </w:pPr>
      <w:r>
        <w:rPr>
          <w:bCs/>
          <w:b/>
        </w:rPr>
        <w:t xml:space="preserve">Surgical Instrumentation:</w:t>
      </w:r>
      <w:r>
        <w:t xml:space="preserve"> </w:t>
      </w:r>
      <w:r>
        <w:t xml:space="preserve">€1.85M (+34% YoY) – Primary driver fueled by adoption of our "PrecisionCut" robotic-assisted system</w:t>
      </w:r>
    </w:p>
    <w:p>
      <w:pPr>
        <w:numPr>
          <w:ilvl w:val="0"/>
          <w:numId w:val="1001"/>
        </w:numPr>
        <w:pStyle w:val="Compact"/>
      </w:pPr>
      <w:r>
        <w:rPr>
          <w:bCs/>
          <w:b/>
        </w:rPr>
        <w:t xml:space="preserve">Training &amp; Support Services:</w:t>
      </w:r>
      <w:r>
        <w:t xml:space="preserve"> </w:t>
      </w:r>
      <w:r>
        <w:t xml:space="preserve">€420K (+22% YoY) – Surgeon-focused workshops at Munich Medical Academy</w:t>
      </w:r>
    </w:p>
    <w:p>
      <w:pPr>
        <w:numPr>
          <w:ilvl w:val="0"/>
          <w:numId w:val="1001"/>
        </w:numPr>
        <w:pStyle w:val="Compact"/>
      </w:pPr>
      <w:r>
        <w:rPr>
          <w:bCs/>
          <w:b/>
        </w:rPr>
        <w:t xml:space="preserve">Maintenance Contracts:</w:t>
      </w:r>
      <w:r>
        <w:t xml:space="preserve"> </w:t>
      </w:r>
      <w:r>
        <w:t xml:space="preserve">€185K (+15% YoY) – 78% retention rate among Munich-based surgical teams</w:t>
      </w:r>
    </w:p>
    <w:p>
      <w:pPr>
        <w:pStyle w:val="FirstParagraph"/>
      </w:pPr>
      <w:r>
        <w:rPr>
          <w:bCs/>
          <w:b/>
        </w:rPr>
        <w:t xml:space="preserve">Key Achievement:</w:t>
      </w:r>
      <w:r>
        <w:t xml:space="preserve"> </w:t>
      </w:r>
      <w:r>
        <w:t xml:space="preserve">Secured exclusive partnership with the Munich University Hospital Group for integrated deployment of our AI-guided surgical platform across 4 major departments. This landmark agreement directly addresses a critical pain point identified in surgeon surveys: reducing intraoperative decision latency by 37%.</w:t>
      </w:r>
    </w:p>
    <w:bookmarkEnd w:id="22"/>
    <w:bookmarkStart w:id="26" w:name="X5da1e6610d11c547c52c892497e8f5c0bc0b53d"/>
    <w:p>
      <w:pPr>
        <w:pStyle w:val="Heading2"/>
      </w:pPr>
      <w:r>
        <w:t xml:space="preserve">IV. Strategic Initiatives Driving Surgeon Adoption in Munich</w:t>
      </w:r>
    </w:p>
    <w:p>
      <w:pPr>
        <w:pStyle w:val="FirstParagraph"/>
      </w:pPr>
      <w:r>
        <w:t xml:space="preserve">Our success hinges on hyper-targeted engagement with the Munich surgical community:</w:t>
      </w:r>
    </w:p>
    <w:bookmarkStart w:id="23" w:name="a.-surgeon-centric-product-development"/>
    <w:p>
      <w:pPr>
        <w:pStyle w:val="Heading3"/>
      </w:pPr>
      <w:r>
        <w:t xml:space="preserve">A. Surgeon-Centric Product Development</w:t>
      </w:r>
    </w:p>
    <w:p>
      <w:pPr>
        <w:pStyle w:val="FirstParagraph"/>
      </w:pPr>
      <w:r>
        <w:t xml:space="preserve">We co-created our latest "NeuroSight" micro-instrumentation line with 12 lead neurosurgeons from LMU Klinikum. This iterative process ensured ergonomic design and real-time data integration preferred by Munich's top surgeons, directly addressing their feedback on existing tools. The solution saw a 92% surgeon satisfaction rate in pilot trials.</w:t>
      </w:r>
    </w:p>
    <w:bookmarkEnd w:id="23"/>
    <w:bookmarkStart w:id="24" w:name="b.-localized-value-proposition"/>
    <w:p>
      <w:pPr>
        <w:pStyle w:val="Heading3"/>
      </w:pPr>
      <w:r>
        <w:t xml:space="preserve">B. Localized Value Proposition</w:t>
      </w:r>
    </w:p>
    <w:p>
      <w:pPr>
        <w:pStyle w:val="FirstParagraph"/>
      </w:pPr>
      <w:r>
        <w:t xml:space="preserve">Unlike generic European strategies, we embedded German healthcare compliance (TÜV certification) and tailored billing codes for Munich's Kassenärztliche Vereinigung (KV) system. This eliminated administrative friction – a top concern among surgeons in our region-specific surveys.</w:t>
      </w:r>
    </w:p>
    <w:bookmarkEnd w:id="24"/>
    <w:bookmarkStart w:id="25" w:name="c.-munich-surgeon-advisory-board"/>
    <w:p>
      <w:pPr>
        <w:pStyle w:val="Heading3"/>
      </w:pPr>
      <w:r>
        <w:t xml:space="preserve">C. Munich Surgeon Advisory Board</w:t>
      </w:r>
    </w:p>
    <w:p>
      <w:pPr>
        <w:pStyle w:val="FirstParagraph"/>
      </w:pPr>
      <w:r>
        <w:t xml:space="preserve">Launched a permanent advisory council with 15 prominent Munich surgeons, meeting quarterly to guide product roadmap development. This unprecedented level of clinical input has accelerated feature adoption by 6 months compared to standard market cycles.</w:t>
      </w:r>
    </w:p>
    <w:bookmarkEnd w:id="25"/>
    <w:bookmarkEnd w:id="26"/>
    <w:bookmarkStart w:id="27" w:name="Xe82506de07510af9cc7f952b273b63b98d190e4"/>
    <w:p>
      <w:pPr>
        <w:pStyle w:val="Heading2"/>
      </w:pPr>
      <w:r>
        <w:t xml:space="preserve">V. Market Analysis: Why Munich Leads Germany's Surgical Innovation</w:t>
      </w:r>
    </w:p>
    <w:p>
      <w:pPr>
        <w:pStyle w:val="FirstParagraph"/>
      </w:pPr>
      <w:r>
        <w:t xml:space="preserve">Munich’s unique advantages create a self-sustaining innovation ecosystem for surgical technology:</w:t>
      </w:r>
    </w:p>
    <w:p>
      <w:pPr>
        <w:numPr>
          <w:ilvl w:val="0"/>
          <w:numId w:val="1002"/>
        </w:numPr>
        <w:pStyle w:val="Compact"/>
      </w:pPr>
      <w:r>
        <w:rPr>
          <w:bCs/>
          <w:b/>
        </w:rPr>
        <w:t xml:space="preserve">Concentrated Expertise:</w:t>
      </w:r>
      <w:r>
        <w:t xml:space="preserve"> </w:t>
      </w:r>
      <w:r>
        <w:t xml:space="preserve">47% of Germany's top-ranked surgeons practice within 15km of Munich, enabling rapid peer validation.</w:t>
      </w:r>
    </w:p>
    <w:p>
      <w:pPr>
        <w:numPr>
          <w:ilvl w:val="0"/>
          <w:numId w:val="1002"/>
        </w:numPr>
        <w:pStyle w:val="Compact"/>
      </w:pPr>
      <w:r>
        <w:rPr>
          <w:bCs/>
          <w:b/>
        </w:rPr>
        <w:t xml:space="preserve">Clinical Research Synergy:</w:t>
      </w:r>
      <w:r>
        <w:t xml:space="preserve"> </w:t>
      </w:r>
      <w:r>
        <w:t xml:space="preserve">Collaborations between hospitals (e.g., Charité-Munich joint trials) accelerate evidence generation for new tools.</w:t>
      </w:r>
    </w:p>
    <w:p>
      <w:pPr>
        <w:numPr>
          <w:ilvl w:val="0"/>
          <w:numId w:val="1002"/>
        </w:numPr>
        <w:pStyle w:val="Compact"/>
      </w:pPr>
      <w:r>
        <w:rPr>
          <w:bCs/>
          <w:b/>
        </w:rPr>
        <w:t xml:space="preserve">Reimbursement Advantage:</w:t>
      </w:r>
      <w:r>
        <w:t xml:space="preserve"> </w:t>
      </w:r>
      <w:r>
        <w:t xml:space="preserve">Bavaria’s proactive reimbursement policies for AI-integrated surgical systems (effective Q1 2023) directly boost ROI calculations for surgeons.</w:t>
      </w:r>
    </w:p>
    <w:p>
      <w:pPr>
        <w:pStyle w:val="FirstParagraph"/>
      </w:pPr>
      <w:r>
        <w:t xml:space="preserve">This environment transformed our Munich sales cycle from 18 months to under 9 months – a metric unmatched in other German regions.</w:t>
      </w:r>
    </w:p>
    <w:bookmarkEnd w:id="27"/>
    <w:bookmarkStart w:id="28" w:name="vi.-challenges-mitigation-strategies"/>
    <w:p>
      <w:pPr>
        <w:pStyle w:val="Heading2"/>
      </w:pPr>
      <w:r>
        <w:t xml:space="preserve">VI. Challenges &amp; Mitigation Strategies</w:t>
      </w:r>
    </w:p>
    <w:p>
      <w:pPr>
        <w:pStyle w:val="FirstParagraph"/>
      </w:pPr>
      <w:r>
        <w:t xml:space="preserve">While growth was robust, we identified two Munich-specific hurdles:</w:t>
      </w:r>
    </w:p>
    <w:p>
      <w:pPr>
        <w:numPr>
          <w:ilvl w:val="0"/>
          <w:numId w:val="1003"/>
        </w:numPr>
        <w:pStyle w:val="Compact"/>
      </w:pPr>
      <w:r>
        <w:rPr>
          <w:bCs/>
          <w:b/>
          <w:iCs/>
          <w:i/>
        </w:rPr>
        <w:t xml:space="preserve">Language &amp; Cultural Nuances:</w:t>
      </w:r>
      <w:r>
        <w:t xml:space="preserve"> </w:t>
      </w:r>
      <w:r>
        <w:t xml:space="preserve">Initial English-focused marketing materials confused surgeons. *Resolution:* Launched fully localized German-language technical guides and trained sales team in surgical terminology (e.g., "Arthroskop" vs. "arthroscopy").</w:t>
      </w:r>
    </w:p>
    <w:p>
      <w:pPr>
        <w:numPr>
          <w:ilvl w:val="0"/>
          <w:numId w:val="1003"/>
        </w:numPr>
        <w:pStyle w:val="Compact"/>
      </w:pPr>
      <w:r>
        <w:rPr>
          <w:bCs/>
          <w:b/>
          <w:iCs/>
          <w:i/>
        </w:rPr>
        <w:t xml:space="preserve">Hospital Procurement Complexity:</w:t>
      </w:r>
      <w:r>
        <w:t xml:space="preserve"> </w:t>
      </w:r>
      <w:r>
        <w:t xml:space="preserve">Munich's centralized purchasing committees delayed decisions. *Resolution:* Embedded dedicated procurement specialists within our Munich office to navigate KV bureaucracy.</w:t>
      </w:r>
    </w:p>
    <w:bookmarkEnd w:id="28"/>
    <w:bookmarkStart w:id="29" w:name="X97e9100acd0abe6fbc42298b3b191e6a541c277"/>
    <w:p>
      <w:pPr>
        <w:pStyle w:val="Heading2"/>
      </w:pPr>
      <w:r>
        <w:t xml:space="preserve">VII. Future Outlook: Scaling Surgeon-Led Growth in Germany</w:t>
      </w:r>
    </w:p>
    <w:p>
      <w:pPr>
        <w:pStyle w:val="FirstParagraph"/>
      </w:pPr>
      <w:r>
        <w:t xml:space="preserve">The momentum generated in Munich positions us for nationwide replication. Key 2024 initiatives include:</w:t>
      </w:r>
    </w:p>
    <w:p>
      <w:pPr>
        <w:numPr>
          <w:ilvl w:val="0"/>
          <w:numId w:val="1004"/>
        </w:numPr>
        <w:pStyle w:val="Compact"/>
      </w:pPr>
      <w:r>
        <w:t xml:space="preserve">Expanding the Munich Surgeon Advisory Board to 30 members, covering all major specialties</w:t>
      </w:r>
    </w:p>
    <w:p>
      <w:pPr>
        <w:numPr>
          <w:ilvl w:val="0"/>
          <w:numId w:val="1004"/>
        </w:numPr>
        <w:pStyle w:val="Compact"/>
      </w:pPr>
      <w:r>
        <w:t xml:space="preserve">Opening a dedicated surgical innovation hub at the Innovation Campus München (ICM), co-located with LMU’s neurosurgery department</w:t>
      </w:r>
    </w:p>
    <w:p>
      <w:pPr>
        <w:numPr>
          <w:ilvl w:val="0"/>
          <w:numId w:val="1004"/>
        </w:numPr>
        <w:pStyle w:val="Compact"/>
      </w:pPr>
      <w:r>
        <w:t xml:space="preserve">Developing Bavaria-specific reimbursement support packages for our surgical solutions</w:t>
      </w:r>
    </w:p>
    <w:p>
      <w:pPr>
        <w:pStyle w:val="FirstParagraph"/>
      </w:pPr>
      <w:r>
        <w:t xml:space="preserve">Munich has proven that when we design products through the lens of the</w:t>
      </w:r>
      <w:r>
        <w:t xml:space="preserve"> </w:t>
      </w:r>
      <w:r>
        <w:rPr>
          <w:bCs/>
          <w:b/>
        </w:rPr>
        <w:t xml:space="preserve">Surgeon</w:t>
      </w:r>
      <w:r>
        <w:t xml:space="preserve">'s daily workflow—not just hospital purchasing criteria—the market rewards innovation. This Sales Report underscores that Munich is not merely a regional office; it’s our flagship for surgical technology excellence in Europe.</w:t>
      </w:r>
    </w:p>
    <w:bookmarkEnd w:id="29"/>
    <w:bookmarkStart w:id="30" w:name="viii.-conclusion"/>
    <w:p>
      <w:pPr>
        <w:pStyle w:val="Heading2"/>
      </w:pPr>
      <w:r>
        <w:t xml:space="preserve">VIII. Conclusion</w:t>
      </w:r>
    </w:p>
    <w:p>
      <w:pPr>
        <w:pStyle w:val="FirstParagraph"/>
      </w:pPr>
      <w:r>
        <w:t xml:space="preserve">The data is unequivocal: Our sales strategy focused on deep engagement with the</w:t>
      </w:r>
      <w:r>
        <w:t xml:space="preserve"> </w:t>
      </w:r>
      <w:r>
        <w:rPr>
          <w:bCs/>
          <w:b/>
        </w:rPr>
        <w:t xml:space="preserve">Surgeon</w:t>
      </w:r>
      <w:r>
        <w:t xml:space="preserve"> </w:t>
      </w:r>
      <w:r>
        <w:t xml:space="preserve">community within</w:t>
      </w:r>
      <w:r>
        <w:t xml:space="preserve"> </w:t>
      </w:r>
      <w:r>
        <w:rPr>
          <w:bCs/>
          <w:b/>
        </w:rPr>
        <w:t xml:space="preserve">Germany Munich</w:t>
      </w:r>
      <w:r>
        <w:t xml:space="preserve"> </w:t>
      </w:r>
      <w:r>
        <w:t xml:space="preserve">has created a scalable model for medical device success. By prioritizing surgeon input over traditional procurement cycles, we’ve built trust that translates directly to revenue growth. As Munich solidifies its status as Europe’s surgical innovation capital, our Sales Report confirms this region will remain the cornerstone of our global expansion strategy. We project 35%+ revenue growth in Munich for H1 2024 and recommend allocating 40% of European R&amp;D budget to surgeon-validated innovations.</w:t>
      </w:r>
    </w:p>
    <w:p>
      <w:pPr>
        <w:pStyle w:val="BodyText"/>
      </w:pPr>
      <w:r>
        <w:rPr>
          <w:iCs/>
          <w:i/>
        </w:rPr>
        <w:t xml:space="preserve">Prepared by: Global Sales Strategy Team</w:t>
      </w:r>
      <w:r>
        <w:br/>
      </w:r>
      <w:r>
        <w:rPr>
          <w:iCs/>
          <w:i/>
        </w:rPr>
        <w:t xml:space="preserve">Verification: Dr. Elara Vogel, Head of Medical Affairs (Munich)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Innovation Solutions for Munich's Surgeon Community</dc:title>
  <dc:creator/>
  <dc:language>en</dc:language>
  <cp:keywords/>
  <dcterms:created xsi:type="dcterms:W3CDTF">2025-12-11T14:24:24Z</dcterms:created>
  <dcterms:modified xsi:type="dcterms:W3CDTF">2025-12-11T14:24:24Z</dcterms:modified>
</cp:coreProperties>
</file>

<file path=docProps/custom.xml><?xml version="1.0" encoding="utf-8"?>
<Properties xmlns="http://schemas.openxmlformats.org/officeDocument/2006/custom-properties" xmlns:vt="http://schemas.openxmlformats.org/officeDocument/2006/docPropsVTypes"/>
</file>