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Advanced</w:t>
      </w:r>
      <w:r>
        <w:t xml:space="preserve"> </w:t>
      </w:r>
      <w:r>
        <w:t xml:space="preserve">Surgical</w:t>
      </w:r>
      <w:r>
        <w:t xml:space="preserve"> </w:t>
      </w:r>
      <w:r>
        <w:t xml:space="preserve">Solutions</w:t>
      </w:r>
      <w:r>
        <w:t xml:space="preserve"> </w:t>
      </w:r>
      <w:r>
        <w:t xml:space="preserve">for</w:t>
      </w:r>
      <w:r>
        <w:t xml:space="preserve"> </w:t>
      </w:r>
      <w:r>
        <w:t xml:space="preserve">Jakarta</w:t>
      </w:r>
      <w:r>
        <w:t xml:space="preserve"> </w:t>
      </w:r>
      <w:r>
        <w:t xml:space="preserve">Healthcare</w:t>
      </w:r>
      <w:r>
        <w:t xml:space="preserve"> </w:t>
      </w:r>
      <w:r>
        <w:t xml:space="preserve">Providers</w:t>
      </w:r>
    </w:p>
    <w:bookmarkStart w:id="29" w:name="X69e32025f6163f312d4c1ebcaafc596c6fbf2fd"/>
    <w:p>
      <w:pPr>
        <w:pStyle w:val="Heading1"/>
      </w:pPr>
      <w:r>
        <w:t xml:space="preserve">Quarterly Sales Report: Advanced Surgical Equipment &amp; Services for Surgeons in Indonesia Jakarta</w:t>
      </w:r>
    </w:p>
    <w:bookmarkStart w:id="20" w:name="executive-summary"/>
    <w:p>
      <w:pPr>
        <w:pStyle w:val="Heading2"/>
      </w:pPr>
      <w:r>
        <w:t xml:space="preserve">Executive Summary</w:t>
      </w:r>
    </w:p>
    <w:p>
      <w:pPr>
        <w:pStyle w:val="FirstParagraph"/>
      </w:pPr>
      <w:r>
        <w:t xml:space="preserve">This comprehensive Sales Report details the performance of our premium surgical equipment and support services across the Jakarta healthcare market during Q3 2023. As the epicenter of medical innovation in Indonesia, Jakarta presents unique opportunities for advanced surgical solutions catering to a growing demand for precision, efficiency, and patient safety. This report underscores how our product portfolio directly supports</w:t>
      </w:r>
      <w:r>
        <w:t xml:space="preserve"> </w:t>
      </w:r>
      <w:r>
        <w:rPr>
          <w:bCs/>
          <w:b/>
        </w:rPr>
        <w:t xml:space="preserve">Surgeon</w:t>
      </w:r>
      <w:r>
        <w:t xml:space="preserve"> </w:t>
      </w:r>
      <w:r>
        <w:t xml:space="preserve">capabilities within leading hospitals and private clinics across</w:t>
      </w:r>
      <w:r>
        <w:t xml:space="preserve"> </w:t>
      </w:r>
      <w:r>
        <w:rPr>
          <w:bCs/>
          <w:b/>
        </w:rPr>
        <w:t xml:space="preserve">Indonesia Jakarta</w:t>
      </w:r>
      <w:r>
        <w:t xml:space="preserve">, driving both clinical outcomes and revenue growth for our partners.</w:t>
      </w:r>
    </w:p>
    <w:bookmarkEnd w:id="20"/>
    <w:bookmarkStart w:id="21" w:name="X86df9fc3a838bcfbc1cb27d53d039ba11128d48"/>
    <w:p>
      <w:pPr>
        <w:pStyle w:val="Heading2"/>
      </w:pPr>
      <w:r>
        <w:t xml:space="preserve">Market Context: Jakarta's Surgeon-Driven Healthcare Ecosystem</w:t>
      </w:r>
    </w:p>
    <w:p>
      <w:pPr>
        <w:pStyle w:val="FirstParagraph"/>
      </w:pPr>
      <w:r>
        <w:rPr>
          <w:bCs/>
          <w:b/>
        </w:rPr>
        <w:t xml:space="preserve">Indonesia Jakarta</w:t>
      </w:r>
      <w:r>
        <w:t xml:space="preserve">'s healthcare sector is experiencing unprecedented growth, fueled by rising middle-class populations, medical tourism initiatives (particularly in cosmetic, orthopedic, and cardiothoracic surgery), and government investments in tertiary care infrastructure. Jakarta alone hosts over 15 major private hospitals (e.g., Siloam Hospitals Group, Mayapada Hospital, RSCM Cipto Mangunkusumo) where specialized</w:t>
      </w:r>
      <w:r>
        <w:t xml:space="preserve"> </w:t>
      </w:r>
      <w:r>
        <w:rPr>
          <w:bCs/>
          <w:b/>
        </w:rPr>
        <w:t xml:space="preserve">Surgeon</w:t>
      </w:r>
      <w:r>
        <w:t xml:space="preserve">s routinely operate. The demand for minimally invasive technologies (endoscopy, robotics-assisted systems), advanced hemostasis devices, and tissue management solutions has surged by 22% year-on-year in the Jakarta metropolitan area. This market dynamic positions our company as a critical enabler of surgical excellence for</w:t>
      </w:r>
      <w:r>
        <w:t xml:space="preserve"> </w:t>
      </w:r>
      <w:r>
        <w:rPr>
          <w:bCs/>
          <w:b/>
        </w:rPr>
        <w:t xml:space="preserve">Surgeon</w:t>
      </w:r>
      <w:r>
        <w:t xml:space="preserve">s committed to elevating patient care standards across</w:t>
      </w:r>
      <w:r>
        <w:t xml:space="preserve"> </w:t>
      </w:r>
      <w:r>
        <w:rPr>
          <w:bCs/>
          <w:b/>
        </w:rPr>
        <w:t xml:space="preserve">Indonesia Jakarta</w:t>
      </w:r>
      <w:r>
        <w:t xml:space="preserve">.</w:t>
      </w:r>
    </w:p>
    <w:bookmarkEnd w:id="21"/>
    <w:bookmarkStart w:id="24" w:name="sales-performance-analysis-q3-2023"/>
    <w:p>
      <w:pPr>
        <w:pStyle w:val="Heading2"/>
      </w:pPr>
      <w:r>
        <w:t xml:space="preserve">Sales Performance Analysis (Q3 2023)</w:t>
      </w:r>
    </w:p>
    <w:bookmarkStart w:id="22" w:name="growth-metrics-by-product-category"/>
    <w:p>
      <w:pPr>
        <w:pStyle w:val="Heading3"/>
      </w:pPr>
      <w:r>
        <w:t xml:space="preserve">Growth Metrics by Product Category</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Product Category</w:t>
            </w:r>
          </w:p>
        </w:tc>
        <w:tc>
          <w:tcPr/>
          <w:p>
            <w:pPr>
              <w:pStyle w:val="Compact"/>
              <w:jc w:val="left"/>
            </w:pPr>
            <w:r>
              <w:t xml:space="preserve">Revenue (IDR)</w:t>
            </w:r>
          </w:p>
        </w:tc>
        <w:tc>
          <w:tcPr/>
          <w:p>
            <w:pPr>
              <w:pStyle w:val="Compact"/>
              <w:jc w:val="left"/>
            </w:pPr>
            <w:r>
              <w:t xml:space="preserve">% YoY Growth</w:t>
            </w:r>
          </w:p>
        </w:tc>
        <w:tc>
          <w:tcPr/>
          <w:p>
            <w:pPr>
              <w:pStyle w:val="Compact"/>
              <w:jc w:val="left"/>
            </w:pPr>
            <w:r>
              <w:t xml:space="preserve">Key Surgeon Feedback</w:t>
            </w:r>
          </w:p>
        </w:tc>
      </w:tr>
      <w:tr>
        <w:tc>
          <w:tcPr/>
          <w:p>
            <w:pPr>
              <w:pStyle w:val="Compact"/>
              <w:jc w:val="left"/>
            </w:pPr>
            <w:r>
              <w:t xml:space="preserve">Minimally Invasive Surgical Kits (MIS)</w:t>
            </w:r>
          </w:p>
        </w:tc>
        <w:tc>
          <w:tcPr/>
          <w:p>
            <w:pPr>
              <w:pStyle w:val="Compact"/>
              <w:jc w:val="left"/>
            </w:pPr>
            <w:r>
              <w:t xml:space="preserve">14,850,000,000</w:t>
            </w:r>
          </w:p>
        </w:tc>
        <w:tc>
          <w:tcPr/>
          <w:p>
            <w:pPr>
              <w:pStyle w:val="Compact"/>
              <w:jc w:val="left"/>
            </w:pPr>
            <w:r>
              <w:t xml:space="preserve">+31%</w:t>
            </w:r>
          </w:p>
        </w:tc>
        <w:tc>
          <w:tcPr/>
          <w:p>
            <w:pPr>
              <w:pStyle w:val="Compact"/>
              <w:jc w:val="left"/>
            </w:pPr>
            <w:r>
              <w:t xml:space="preserve">"Reduced operating time by 25% and improved visibility in laparoscopic procedures."</w:t>
            </w:r>
          </w:p>
        </w:tc>
      </w:tr>
      <w:tr>
        <w:tc>
          <w:tcPr/>
          <w:p>
            <w:pPr>
              <w:pStyle w:val="Compact"/>
              <w:jc w:val="left"/>
            </w:pPr>
            <w:r>
              <w:t xml:space="preserve">Advanced Hemostasis Devices</w:t>
            </w:r>
          </w:p>
        </w:tc>
        <w:tc>
          <w:tcPr/>
          <w:p>
            <w:pPr>
              <w:pStyle w:val="Compact"/>
              <w:jc w:val="left"/>
            </w:pPr>
            <w:r>
              <w:t xml:space="preserve">8,620,000,000</w:t>
            </w:r>
          </w:p>
        </w:tc>
        <w:tc>
          <w:tcPr/>
          <w:p>
            <w:pPr>
              <w:pStyle w:val="Compact"/>
              <w:jc w:val="left"/>
            </w:pPr>
            <w:r>
              <w:t xml:space="preserve">+18%</w:t>
            </w:r>
          </w:p>
        </w:tc>
        <w:tc>
          <w:tcPr/>
          <w:p>
            <w:pPr>
              <w:pStyle w:val="Compact"/>
              <w:jc w:val="left"/>
            </w:pPr>
            <w:r>
              <w:t xml:space="preserve">"Essential for reducing blood loss in complex abdominal surgeries."</w:t>
            </w:r>
          </w:p>
        </w:tc>
      </w:tr>
      <w:tr>
        <w:tc>
          <w:tcPr/>
          <w:p>
            <w:pPr>
              <w:pStyle w:val="Compact"/>
              <w:jc w:val="left"/>
            </w:pPr>
            <w:r>
              <w:t xml:space="preserve">Robotic-Assisted Surgery Support</w:t>
            </w:r>
          </w:p>
        </w:tc>
        <w:tc>
          <w:tcPr/>
          <w:p>
            <w:pPr>
              <w:pStyle w:val="Compact"/>
              <w:jc w:val="left"/>
            </w:pPr>
            <w:r>
              <w:t xml:space="preserve">5,275,000,000</w:t>
            </w:r>
          </w:p>
        </w:tc>
        <w:tc>
          <w:tcPr/>
          <w:p>
            <w:pPr>
              <w:pStyle w:val="Compact"/>
              <w:jc w:val="left"/>
            </w:pPr>
            <w:r>
              <w:t xml:space="preserve">+47%</w:t>
            </w:r>
          </w:p>
        </w:tc>
        <w:tc>
          <w:tcPr/>
          <w:p>
            <w:pPr>
              <w:pStyle w:val="Compact"/>
              <w:jc w:val="left"/>
            </w:pPr>
            <w:r>
              <w:t xml:space="preserve">"Seamless integration with existing OR setups; critical for high-volume urology teams."</w:t>
            </w:r>
          </w:p>
        </w:tc>
      </w:tr>
      <w:tr>
        <w:tc>
          <w:tcPr/>
          <w:p>
            <w:pPr>
              <w:pStyle w:val="Compact"/>
              <w:jc w:val="left"/>
            </w:pPr>
            <w:r>
              <w:t xml:space="preserve">Total Revenue</w:t>
            </w:r>
          </w:p>
        </w:tc>
        <w:tc>
          <w:tcPr/>
          <w:p>
            <w:pPr>
              <w:pStyle w:val="Compact"/>
              <w:jc w:val="left"/>
            </w:pPr>
            <w:r>
              <w:t xml:space="preserve">28,745,000,000</w:t>
            </w:r>
          </w:p>
        </w:tc>
        <w:tc>
          <w:tcPr/>
          <w:p>
            <w:pPr>
              <w:pStyle w:val="Compact"/>
              <w:jc w:val="left"/>
            </w:pPr>
            <w:r>
              <w:rPr>
                <w:bCs/>
                <w:b/>
              </w:rPr>
              <w:t xml:space="preserve">+29%</w:t>
            </w:r>
          </w:p>
        </w:tc>
        <w:tc>
          <w:tcPr/>
          <w:p>
            <w:pPr>
              <w:pStyle w:val="Compact"/>
              <w:jc w:val="left"/>
            </w:pPr>
            <w:r>
              <w:t xml:space="preserve"> </w:t>
            </w:r>
          </w:p>
        </w:tc>
      </w:tr>
    </w:tbl>
    <w:bookmarkEnd w:id="22"/>
    <w:bookmarkStart w:id="23" w:name="key-account-highlights-in-jakarta"/>
    <w:p>
      <w:pPr>
        <w:pStyle w:val="Heading3"/>
      </w:pPr>
      <w:r>
        <w:t xml:space="preserve">Key Account Highlights in Jakarta</w:t>
      </w:r>
    </w:p>
    <w:p>
      <w:pPr>
        <w:numPr>
          <w:ilvl w:val="0"/>
          <w:numId w:val="1001"/>
        </w:numPr>
        <w:pStyle w:val="Compact"/>
      </w:pPr>
      <w:r>
        <w:rPr>
          <w:bCs/>
          <w:b/>
        </w:rPr>
        <w:t xml:space="preserve">Siloam Hospitals Group (Kebon Jeruk):</w:t>
      </w:r>
      <w:r>
        <w:t xml:space="preserve"> </w:t>
      </w:r>
      <w:r>
        <w:t xml:space="preserve">Secured a landmark multi-million IDR contract for 12 new robotic surgical support modules, directly adopted by their cardiothoracic and gynecological</w:t>
      </w:r>
      <w:r>
        <w:t xml:space="preserve"> </w:t>
      </w:r>
      <w:r>
        <w:rPr>
          <w:bCs/>
          <w:b/>
        </w:rPr>
        <w:t xml:space="preserve">Surgeon</w:t>
      </w:r>
      <w:r>
        <w:t xml:space="preserve"> </w:t>
      </w:r>
      <w:r>
        <w:t xml:space="preserve">teams. This installation boosted their capacity for complex procedures by 35%.</w:t>
      </w:r>
    </w:p>
    <w:p>
      <w:pPr>
        <w:numPr>
          <w:ilvl w:val="0"/>
          <w:numId w:val="1001"/>
        </w:numPr>
        <w:pStyle w:val="Compact"/>
      </w:pPr>
      <w:r>
        <w:rPr>
          <w:bCs/>
          <w:b/>
        </w:rPr>
        <w:t xml:space="preserve">Cipto Mangunkusumo National General Hospital (RSCM):</w:t>
      </w:r>
      <w:r>
        <w:t xml:space="preserve"> </w:t>
      </w:r>
      <w:r>
        <w:t xml:space="preserve">Implemented our advanced MIS kits across 8 surgical departments, resulting in a documented 15% reduction in average procedure times and higher patient satisfaction scores.</w:t>
      </w:r>
    </w:p>
    <w:p>
      <w:pPr>
        <w:numPr>
          <w:ilvl w:val="0"/>
          <w:numId w:val="1001"/>
        </w:numPr>
        <w:pStyle w:val="Compact"/>
      </w:pPr>
      <w:r>
        <w:rPr>
          <w:bCs/>
          <w:b/>
        </w:rPr>
        <w:t xml:space="preserve">Private Clinic Networks (e.g., Brawijaya Medical Center):</w:t>
      </w:r>
      <w:r>
        <w:t xml:space="preserve"> </w:t>
      </w:r>
      <w:r>
        <w:t xml:space="preserve">Achieved a 50% increase in recurring contracts for consumable surgical products, driven by</w:t>
      </w:r>
      <w:r>
        <w:t xml:space="preserve"> </w:t>
      </w:r>
      <w:r>
        <w:rPr>
          <w:bCs/>
          <w:b/>
        </w:rPr>
        <w:t xml:space="preserve">Surgeon</w:t>
      </w:r>
      <w:r>
        <w:t xml:space="preserve"> </w:t>
      </w:r>
      <w:r>
        <w:t xml:space="preserve">endorsement of superior tissue handling properties.</w:t>
      </w:r>
    </w:p>
    <w:bookmarkEnd w:id="23"/>
    <w:bookmarkEnd w:id="24"/>
    <w:bookmarkStart w:id="25" w:name="Xf35d38aeacd506b9d38a64b91edae9b3721fc19"/>
    <w:p>
      <w:pPr>
        <w:pStyle w:val="Heading2"/>
      </w:pPr>
      <w:r>
        <w:t xml:space="preserve">Critical Success Factors: Why Surgeons Choose Our Solutions in Jakarta</w:t>
      </w:r>
    </w:p>
    <w:p>
      <w:pPr>
        <w:pStyle w:val="FirstParagraph"/>
      </w:pPr>
      <w:r>
        <w:t xml:space="preserve">The dominant factor behind our sales growth is alignment with the unmet needs of practicing</w:t>
      </w:r>
      <w:r>
        <w:t xml:space="preserve"> </w:t>
      </w:r>
      <w:r>
        <w:rPr>
          <w:bCs/>
          <w:b/>
        </w:rPr>
        <w:t xml:space="preserve">Surgeon</w:t>
      </w:r>
      <w:r>
        <w:t xml:space="preserve">s in</w:t>
      </w:r>
      <w:r>
        <w:t xml:space="preserve"> </w:t>
      </w:r>
      <w:r>
        <w:rPr>
          <w:bCs/>
          <w:b/>
        </w:rPr>
        <w:t xml:space="preserve">Indonesia Jakarta</w:t>
      </w:r>
      <w:r>
        <w:t xml:space="preserve">. Key differentiators include:</w:t>
      </w:r>
    </w:p>
    <w:p>
      <w:pPr>
        <w:numPr>
          <w:ilvl w:val="0"/>
          <w:numId w:val="1002"/>
        </w:numPr>
        <w:pStyle w:val="Compact"/>
      </w:pPr>
      <w:r>
        <w:rPr>
          <w:iCs/>
          <w:i/>
        </w:rPr>
        <w:t xml:space="preserve">Cultural &amp; Clinical Integration:</w:t>
      </w:r>
      <w:r>
        <w:t xml:space="preserve"> </w:t>
      </w:r>
      <w:r>
        <w:t xml:space="preserve">Products are rigorously tested with local surgical workflows (e.g., accommodating common anatomical variations prevalent in Southeast Asian populations), ensuring immediate usability by Jakarta-based teams.</w:t>
      </w:r>
    </w:p>
    <w:p>
      <w:pPr>
        <w:numPr>
          <w:ilvl w:val="0"/>
          <w:numId w:val="1002"/>
        </w:numPr>
        <w:pStyle w:val="Compact"/>
      </w:pPr>
      <w:r>
        <w:rPr>
          <w:iCs/>
          <w:i/>
        </w:rPr>
        <w:t xml:space="preserve">Post-Sale Surgeon Support:</w:t>
      </w:r>
      <w:r>
        <w:t xml:space="preserve"> </w:t>
      </w:r>
      <w:r>
        <w:t xml:space="preserve">Our dedicated Jakarta Technical Team provides on-site training and 24/7 troubleshooting for</w:t>
      </w:r>
      <w:r>
        <w:t xml:space="preserve"> </w:t>
      </w:r>
      <w:r>
        <w:rPr>
          <w:bCs/>
          <w:b/>
        </w:rPr>
        <w:t xml:space="preserve">Surgeon</w:t>
      </w:r>
      <w:r>
        <w:t xml:space="preserve">s, reducing OR downtime – a critical pain point in high-volume hospitals.</w:t>
      </w:r>
    </w:p>
    <w:p>
      <w:pPr>
        <w:numPr>
          <w:ilvl w:val="0"/>
          <w:numId w:val="1002"/>
        </w:numPr>
        <w:pStyle w:val="Compact"/>
      </w:pPr>
      <w:r>
        <w:rPr>
          <w:iCs/>
          <w:i/>
        </w:rPr>
        <w:t xml:space="preserve">Sustainability Focus:</w:t>
      </w:r>
      <w:r>
        <w:t xml:space="preserve"> </w:t>
      </w:r>
      <w:r>
        <w:t xml:space="preserve">With rising environmental consciousness in Indonesian healthcare, our eco-friendly disposable products (e.g., biodegradable sutures) resonate strongly with hospital sustainability goals.</w:t>
      </w:r>
    </w:p>
    <w:p>
      <w:pPr>
        <w:numPr>
          <w:ilvl w:val="0"/>
          <w:numId w:val="1002"/>
        </w:numPr>
        <w:pStyle w:val="Compact"/>
      </w:pPr>
      <w:r>
        <w:rPr>
          <w:iCs/>
          <w:i/>
        </w:rPr>
        <w:t xml:space="preserve">Cost-Effectiveness for Surgeon Efficiency:</w:t>
      </w:r>
      <w:r>
        <w:t xml:space="preserve"> </w:t>
      </w:r>
      <w:r>
        <w:t xml:space="preserve">Our solutions deliver superior ROI through faster turnover times and reduced complication rates, directly improving a</w:t>
      </w:r>
      <w:r>
        <w:t xml:space="preserve"> </w:t>
      </w:r>
      <w:r>
        <w:rPr>
          <w:bCs/>
          <w:b/>
        </w:rPr>
        <w:t xml:space="preserve">Surgeon</w:t>
      </w:r>
      <w:r>
        <w:t xml:space="preserve">'s daily operational capacity – a major concern in Jakarta's competitive medical landscape.</w:t>
      </w:r>
    </w:p>
    <w:bookmarkEnd w:id="25"/>
    <w:bookmarkStart w:id="26" w:name="Xb449530e5ef6420d3488a8bd244e66d197a10fe"/>
    <w:p>
      <w:pPr>
        <w:pStyle w:val="Heading2"/>
      </w:pPr>
      <w:r>
        <w:t xml:space="preserve">Challenges &amp; Strategic Response in Indonesia Jakarta Market</w:t>
      </w:r>
    </w:p>
    <w:p>
      <w:pPr>
        <w:pStyle w:val="FirstParagraph"/>
      </w:pPr>
      <w:r>
        <w:t xml:space="preserve">Despite strong growth, challenges persist unique to the</w:t>
      </w:r>
      <w:r>
        <w:t xml:space="preserve"> </w:t>
      </w:r>
      <w:r>
        <w:rPr>
          <w:bCs/>
          <w:b/>
        </w:rPr>
        <w:t xml:space="preserve">Indonesia Jakarta</w:t>
      </w:r>
      <w:r>
        <w:t xml:space="preserve"> </w:t>
      </w:r>
      <w:r>
        <w:t xml:space="preserve">context:</w:t>
      </w:r>
    </w:p>
    <w:p>
      <w:pPr>
        <w:numPr>
          <w:ilvl w:val="0"/>
          <w:numId w:val="1003"/>
        </w:numPr>
        <w:pStyle w:val="Compact"/>
      </w:pPr>
      <w:r>
        <w:rPr>
          <w:iCs/>
          <w:i/>
        </w:rPr>
        <w:t xml:space="preserve">Bureaucratic Procurement Cycles:</w:t>
      </w:r>
      <w:r>
        <w:t xml:space="preserve"> </w:t>
      </w:r>
      <w:r>
        <w:t xml:space="preserve">Hospital procurement often involves lengthy approval chains. *Strategy:* We now partner with local government health agencies (e.g., DKI Jakarta Health Office) to streamline approvals for critical surgical equipment.</w:t>
      </w:r>
    </w:p>
    <w:p>
      <w:pPr>
        <w:numPr>
          <w:ilvl w:val="0"/>
          <w:numId w:val="1003"/>
        </w:numPr>
        <w:pStyle w:val="Compact"/>
      </w:pPr>
      <w:r>
        <w:rPr>
          <w:iCs/>
          <w:i/>
        </w:rPr>
        <w:t xml:space="preserve">Price Sensitivity in Public Hospitals:</w:t>
      </w:r>
      <w:r>
        <w:t xml:space="preserve"> </w:t>
      </w:r>
      <w:r>
        <w:t xml:space="preserve">While private hospitals show strong adoption, public facilities face budget constraints. *Strategy:* Launched a tiered pricing model and extended financing options specifically for RSCM and similar public institutions.</w:t>
      </w:r>
    </w:p>
    <w:p>
      <w:pPr>
        <w:numPr>
          <w:ilvl w:val="0"/>
          <w:numId w:val="1003"/>
        </w:numPr>
        <w:pStyle w:val="Compact"/>
      </w:pPr>
      <w:r>
        <w:rPr>
          <w:iCs/>
          <w:i/>
        </w:rPr>
        <w:t xml:space="preserve">Educational Gap:</w:t>
      </w:r>
      <w:r>
        <w:t xml:space="preserve"> </w:t>
      </w:r>
      <w:r>
        <w:t xml:space="preserve">Some</w:t>
      </w:r>
      <w:r>
        <w:t xml:space="preserve"> </w:t>
      </w:r>
      <w:r>
        <w:rPr>
          <w:bCs/>
          <w:b/>
        </w:rPr>
        <w:t xml:space="preserve">Surgeon</w:t>
      </w:r>
      <w:r>
        <w:t xml:space="preserve">s require upskilling on new technologies. *Strategy:* Co-hosted 8 specialized workshops with Jakarta Medical Association (Ikatan Dokter Indonesia - IDI) chapters, focusing on practical MIS application for local surgical challenges.</w:t>
      </w:r>
    </w:p>
    <w:bookmarkEnd w:id="26"/>
    <w:bookmarkStart w:id="27" w:name="X455284b3d9c693261bf8b4b49303f8fc278cc9e"/>
    <w:p>
      <w:pPr>
        <w:pStyle w:val="Heading2"/>
      </w:pPr>
      <w:r>
        <w:t xml:space="preserve">Future Outlook &amp; Growth Strategy (Q4 2023 - Q1 2024)</w:t>
      </w:r>
    </w:p>
    <w:p>
      <w:pPr>
        <w:pStyle w:val="FirstParagraph"/>
      </w:pPr>
      <w:r>
        <w:t xml:space="preserve">The Jakarta market is projected to grow at a CAGR of 19% through 2025, driven by the National Health Insurance (JKN) expansion and increased private investment. To capture this growth, our strategy for the next quarter focuses on:</w:t>
      </w:r>
    </w:p>
    <w:p>
      <w:pPr>
        <w:numPr>
          <w:ilvl w:val="0"/>
          <w:numId w:val="1004"/>
        </w:numPr>
        <w:pStyle w:val="Compact"/>
      </w:pPr>
      <w:r>
        <w:rPr>
          <w:iCs/>
          <w:i/>
        </w:rPr>
        <w:t xml:space="preserve">Deepening Hospital Partnerships:</w:t>
      </w:r>
      <w:r>
        <w:t xml:space="preserve"> </w:t>
      </w:r>
      <w:r>
        <w:t xml:space="preserve">Targeting 3 new major hospital contracts in Jakarta (including emerging centers in West Jakarta) with tailored packages combining equipment + surgeon training.</w:t>
      </w:r>
    </w:p>
    <w:p>
      <w:pPr>
        <w:numPr>
          <w:ilvl w:val="0"/>
          <w:numId w:val="1004"/>
        </w:numPr>
        <w:pStyle w:val="Compact"/>
      </w:pPr>
      <w:r>
        <w:rPr>
          <w:iCs/>
          <w:i/>
        </w:rPr>
        <w:t xml:space="preserve">Surgeon Ambassador Program:</w:t>
      </w:r>
      <w:r>
        <w:t xml:space="preserve"> </w:t>
      </w:r>
      <w:r>
        <w:t xml:space="preserve">Identifying and formally engaging 15 influential</w:t>
      </w:r>
      <w:r>
        <w:t xml:space="preserve"> </w:t>
      </w:r>
      <w:r>
        <w:rPr>
          <w:bCs/>
          <w:b/>
        </w:rPr>
        <w:t xml:space="preserve">Surgeon</w:t>
      </w:r>
      <w:r>
        <w:t xml:space="preserve">s across Jakarta to serve as clinical champions, providing real-world testimonials and co-developing product enhancements.</w:t>
      </w:r>
    </w:p>
    <w:p>
      <w:pPr>
        <w:numPr>
          <w:ilvl w:val="0"/>
          <w:numId w:val="1004"/>
        </w:numPr>
        <w:pStyle w:val="Compact"/>
      </w:pPr>
      <w:r>
        <w:rPr>
          <w:iCs/>
          <w:i/>
        </w:rPr>
        <w:t xml:space="preserve">Digital Integration:</w:t>
      </w:r>
      <w:r>
        <w:t xml:space="preserve"> </w:t>
      </w:r>
      <w:r>
        <w:t xml:space="preserve">Launching a Jakarta-specific portal for surgeons to access training videos, purchase consumables on-demand, and share procedure insights – enhancing user experience beyond traditional sales.</w:t>
      </w:r>
    </w:p>
    <w:bookmarkEnd w:id="27"/>
    <w:bookmarkStart w:id="28" w:name="Xf9a6cd5d4f4ef7261241d9ed8945903ca391e83"/>
    <w:p>
      <w:pPr>
        <w:pStyle w:val="Heading2"/>
      </w:pPr>
      <w:r>
        <w:t xml:space="preserve">Conclusion: Empowering Surgeons, Transforming Care in Indonesia Jakarta</w:t>
      </w:r>
    </w:p>
    <w:p>
      <w:pPr>
        <w:pStyle w:val="FirstParagraph"/>
      </w:pPr>
      <w:r>
        <w:t xml:space="preserve">This Sales Report unequivocally demonstrates that our commitment to delivering exceptional surgical solutions is directly translating into measurable value for surgeons and patients across</w:t>
      </w:r>
      <w:r>
        <w:t xml:space="preserve"> </w:t>
      </w:r>
      <w:r>
        <w:rPr>
          <w:bCs/>
          <w:b/>
        </w:rPr>
        <w:t xml:space="preserve">Indonesia Jakarta</w:t>
      </w:r>
      <w:r>
        <w:t xml:space="preserve">. By centering our strategy on the specific needs, workflows, and aspirations of the local</w:t>
      </w:r>
      <w:r>
        <w:t xml:space="preserve"> </w:t>
      </w:r>
      <w:r>
        <w:rPr>
          <w:bCs/>
          <w:b/>
        </w:rPr>
        <w:t xml:space="preserve">Surgeon</w:t>
      </w:r>
      <w:r>
        <w:t xml:space="preserve"> </w:t>
      </w:r>
      <w:r>
        <w:t xml:space="preserve">community – rather than a generic product push – we have established ourselves as an indispensable partner. The 29% revenue growth in Q3 is not merely a financial metric; it represents tangible improvements in surgical efficiency, patient outcomes, and professional satisfaction for Jakarta's medical pioneers. As we advance into the final quarter of 2023, our focus remains unwavering: to continue empowering</w:t>
      </w:r>
      <w:r>
        <w:t xml:space="preserve"> </w:t>
      </w:r>
      <w:r>
        <w:rPr>
          <w:bCs/>
          <w:b/>
        </w:rPr>
        <w:t xml:space="preserve">Surgeon</w:t>
      </w:r>
      <w:r>
        <w:t xml:space="preserve">s within</w:t>
      </w:r>
      <w:r>
        <w:t xml:space="preserve"> </w:t>
      </w:r>
      <w:r>
        <w:rPr>
          <w:bCs/>
          <w:b/>
        </w:rPr>
        <w:t xml:space="preserve">Indonesia Jakarta</w:t>
      </w:r>
      <w:r>
        <w:t xml:space="preserve">'s dynamic healthcare landscape to achieve the highest standards of care, driving sustainable growth for our company and meaningful impact for the communities we serve.</w:t>
      </w:r>
    </w:p>
    <w:p>
      <w:pPr>
        <w:pStyle w:val="BodyText"/>
      </w:pPr>
      <w:r>
        <w:rPr>
          <w:iCs/>
          <w:i/>
        </w:rPr>
        <w:t xml:space="preserve">Sales Report Generated: October 26, 2023 | Prepared For: Regional Leadership Team, Indonesia Jakarta Operations | Confidential</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Advanced Surgical Solutions for Jakarta Healthcare Providers</dc:title>
  <dc:creator/>
  <dc:language>en</dc:language>
  <cp:keywords/>
  <dcterms:created xsi:type="dcterms:W3CDTF">2026-07-23T10:48:46Z</dcterms:created>
  <dcterms:modified xsi:type="dcterms:W3CDTF">2026-07-23T10:48:46Z</dcterms:modified>
</cp:coreProperties>
</file>

<file path=docProps/custom.xml><?xml version="1.0" encoding="utf-8"?>
<Properties xmlns="http://schemas.openxmlformats.org/officeDocument/2006/custom-properties" xmlns:vt="http://schemas.openxmlformats.org/officeDocument/2006/docPropsVTypes"/>
</file>