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Surgical</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31" w:name="Xb8866ef215fdc89db699495d802c1ba39fdf212"/>
    <w:p>
      <w:pPr>
        <w:pStyle w:val="Heading1"/>
      </w:pPr>
      <w:r>
        <w:t xml:space="preserve">Comprehensive Sales Report: Advanced Surgical Solutions for Iran Tehran Healthcare Ecosystem</w:t>
      </w:r>
    </w:p>
    <w:bookmarkStart w:id="20" w:name="executive-summary"/>
    <w:p>
      <w:pPr>
        <w:pStyle w:val="Heading2"/>
      </w:pPr>
      <w:r>
        <w:t xml:space="preserve">Executive Summary</w:t>
      </w:r>
    </w:p>
    <w:p>
      <w:pPr>
        <w:pStyle w:val="FirstParagraph"/>
      </w:pPr>
      <w:r>
        <w:t xml:space="preserve">This Sales Report details the strategic performance of our premium surgical instrumentation and technology portfolio across the critical healthcare market of Iran Tehran. Covering the period from July 1st to September 30th, 2024, this document underscores significant growth in demand for state-of-the-art equipment specifically designed to support modern</w:t>
      </w:r>
      <w:r>
        <w:t xml:space="preserve"> </w:t>
      </w:r>
      <w:r>
        <w:rPr>
          <w:bCs/>
          <w:b/>
        </w:rPr>
        <w:t xml:space="preserve">Surgeon</w:t>
      </w:r>
      <w:r>
        <w:t xml:space="preserve"> </w:t>
      </w:r>
      <w:r>
        <w:t xml:space="preserve">workflows within Tehran's leading medical institutions. Our focus remains firmly on delivering solutions that enhance surgical precision, reduce procedure times, and align with Iran's national healthcare advancement goals. The Tehran market demonstrated a remarkable 32% year-over-year growth in qualified orders for our core product lines, solidifying its position as the engine of our Middle Eastern expansion strategy.</w:t>
      </w:r>
    </w:p>
    <w:bookmarkEnd w:id="20"/>
    <w:bookmarkStart w:id="21" w:name="Xa7f6f649951b8039b9a9812d671e7accea8c8fe"/>
    <w:p>
      <w:pPr>
        <w:pStyle w:val="Heading2"/>
      </w:pPr>
      <w:r>
        <w:t xml:space="preserve">Market Analysis: Iran Tehran Healthcare Dynamics</w:t>
      </w:r>
    </w:p>
    <w:p>
      <w:pPr>
        <w:pStyle w:val="FirstParagraph"/>
      </w:pPr>
      <w:r>
        <w:t xml:space="preserve">Tehran, as Iran's economic and medical hub, houses over 60% of the country's major tertiary hospitals and specialized surgical centers. Recent government initiatives under the Ministry of Health and Medical Education (MOHME) prioritize modernization of surgical infrastructure to meet rising patient volumes and international accreditation standards. This creates a unique opportunity for vendors offering integrated</w:t>
      </w:r>
      <w:r>
        <w:t xml:space="preserve"> </w:t>
      </w:r>
      <w:r>
        <w:rPr>
          <w:bCs/>
          <w:b/>
        </w:rPr>
        <w:t xml:space="preserve">Surgeon</w:t>
      </w:r>
      <w:r>
        <w:t xml:space="preserve">-centric solutions. Key drivers identified in Tehran include:</w:t>
      </w:r>
    </w:p>
    <w:p>
      <w:pPr>
        <w:numPr>
          <w:ilvl w:val="0"/>
          <w:numId w:val="1001"/>
        </w:numPr>
        <w:pStyle w:val="Compact"/>
      </w:pPr>
      <w:r>
        <w:rPr>
          <w:iCs/>
          <w:i/>
        </w:rPr>
        <w:t xml:space="preserve">Government Procurement Shifts:</w:t>
      </w:r>
      <w:r>
        <w:t xml:space="preserve"> </w:t>
      </w:r>
      <w:r>
        <w:t xml:space="preserve">Increased budget allocation for minimally invasive surgery (MIS) equipment across public hospitals like Imam Khomeini and Sina University Hospitals.</w:t>
      </w:r>
    </w:p>
    <w:p>
      <w:pPr>
        <w:numPr>
          <w:ilvl w:val="0"/>
          <w:numId w:val="1001"/>
        </w:numPr>
        <w:pStyle w:val="Compact"/>
      </w:pPr>
      <w:r>
        <w:rPr>
          <w:iCs/>
          <w:i/>
        </w:rPr>
        <w:t xml:space="preserve">Educational Demand:</w:t>
      </w:r>
      <w:r>
        <w:t xml:space="preserve"> </w:t>
      </w:r>
      <w:r>
        <w:t xml:space="preserve">Tehran Medical Sciences University's surgical residency programs actively seek advanced training tools to upskill the next generation of</w:t>
      </w:r>
      <w:r>
        <w:t xml:space="preserve"> </w:t>
      </w:r>
      <w:r>
        <w:rPr>
          <w:bCs/>
          <w:b/>
        </w:rPr>
        <w:t xml:space="preserve">Surgeon</w:t>
      </w:r>
      <w:r>
        <w:t xml:space="preserve">s.</w:t>
      </w:r>
    </w:p>
    <w:p>
      <w:pPr>
        <w:numPr>
          <w:ilvl w:val="0"/>
          <w:numId w:val="1001"/>
        </w:numPr>
        <w:pStyle w:val="Compact"/>
      </w:pPr>
      <w:r>
        <w:rPr>
          <w:iCs/>
          <w:i/>
        </w:rPr>
        <w:t xml:space="preserve">Patient Expectations:</w:t>
      </w:r>
      <w:r>
        <w:t xml:space="preserve"> </w:t>
      </w:r>
      <w:r>
        <w:t xml:space="preserve">Rising middle-class demand for shorter recovery times and scarless procedures directly fuels adoption of our robotic-assisted and high-definition visualization systems.</w:t>
      </w:r>
    </w:p>
    <w:bookmarkEnd w:id="21"/>
    <w:bookmarkStart w:id="22" w:name="X249b81b44cdd2dea24c5155e589539cf06c757c"/>
    <w:p>
      <w:pPr>
        <w:pStyle w:val="Heading2"/>
      </w:pPr>
      <w:r>
        <w:t xml:space="preserve">Sales Performance Highlights: Tehran Focus</w:t>
      </w:r>
    </w:p>
    <w:p>
      <w:pPr>
        <w:pStyle w:val="FirstParagraph"/>
      </w:pPr>
      <w:r>
        <w:t xml:space="preserve">The Q3 report reflects a strategic pivot towards value-based sales, moving beyond basic instrument sales to comprehensive surgical ecosystem partnerships. Key achievements include:</w:t>
      </w:r>
    </w:p>
    <w:p>
      <w:pPr>
        <w:numPr>
          <w:ilvl w:val="0"/>
          <w:numId w:val="1002"/>
        </w:numPr>
        <w:pStyle w:val="Compact"/>
      </w:pPr>
      <w:r>
        <w:rPr>
          <w:bCs/>
          <w:b/>
        </w:rPr>
        <w:t xml:space="preserve">Record Contract Value:</w:t>
      </w:r>
      <w:r>
        <w:t xml:space="preserve"> </w:t>
      </w:r>
      <w:r>
        <w:t xml:space="preserve">Secured a $1.8M multi-year agreement with Tehran's largest public hospital group for integrated surgical suites, including 15 next-gen laparoscopic systems and AI-assisted navigation tools designed specifically for</w:t>
      </w:r>
      <w:r>
        <w:t xml:space="preserve"> </w:t>
      </w:r>
      <w:r>
        <w:rPr>
          <w:bCs/>
          <w:b/>
        </w:rPr>
        <w:t xml:space="preserve">Surgeon</w:t>
      </w:r>
      <w:r>
        <w:t xml:space="preserve"> </w:t>
      </w:r>
      <w:r>
        <w:t xml:space="preserve">use.</w:t>
      </w:r>
    </w:p>
    <w:p>
      <w:pPr>
        <w:numPr>
          <w:ilvl w:val="0"/>
          <w:numId w:val="1002"/>
        </w:numPr>
        <w:pStyle w:val="Compact"/>
      </w:pPr>
      <w:r>
        <w:rPr>
          <w:bCs/>
          <w:b/>
        </w:rPr>
        <w:t xml:space="preserve">New Hospital Onboardings:</w:t>
      </w:r>
      <w:r>
        <w:t xml:space="preserve"> </w:t>
      </w:r>
      <w:r>
        <w:t xml:space="preserve">Successfully onboarded 8 new private hospitals across Tehran (including prestigious centers like Milad and Shariati), representing a 40% increase in active hospital clients within the city.</w:t>
      </w:r>
    </w:p>
    <w:p>
      <w:pPr>
        <w:numPr>
          <w:ilvl w:val="0"/>
          <w:numId w:val="1002"/>
        </w:numPr>
        <w:pStyle w:val="Compact"/>
      </w:pPr>
      <w:r>
        <w:rPr>
          <w:bCs/>
          <w:b/>
        </w:rPr>
        <w:t xml:space="preserve">Surgeon Adoption Rate:</w:t>
      </w:r>
      <w:r>
        <w:t xml:space="preserve"> </w:t>
      </w:r>
      <w:r>
        <w:t xml:space="preserve">Achieved 78% adoption rate among key surgeons at partnered institutions for our SmartSuture™ technology, with over 2,100 procedures performed using our systems during Q3.</w:t>
      </w:r>
    </w:p>
    <w:bookmarkEnd w:id="22"/>
    <w:bookmarkStart w:id="26" w:name="X127cd610a3fc36cb00452abd855f898d3becdda"/>
    <w:p>
      <w:pPr>
        <w:pStyle w:val="Heading2"/>
      </w:pPr>
      <w:r>
        <w:t xml:space="preserve">Product Portfolio Performance: Engineered for Tehran's Surgeons</w:t>
      </w:r>
    </w:p>
    <w:p>
      <w:pPr>
        <w:pStyle w:val="FirstParagraph"/>
      </w:pPr>
      <w:r>
        <w:t xml:space="preserve">Our product strategy centers on solving acute pain points identified through direct engagement with surgeons in Iran Tehran. The top-performing categories were:</w:t>
      </w:r>
    </w:p>
    <w:bookmarkStart w:id="23" w:name="minimally-invasive-surgery-mis-systems"/>
    <w:p>
      <w:pPr>
        <w:pStyle w:val="Heading3"/>
      </w:pPr>
      <w:r>
        <w:t xml:space="preserve">1. Minimally Invasive Surgery (MIS) Systems</w:t>
      </w:r>
    </w:p>
    <w:p>
      <w:pPr>
        <w:pStyle w:val="FirstParagraph"/>
      </w:pPr>
      <w:r>
        <w:t xml:space="preserve">The "Tehran Precision" suite, featuring 4K HD visualization and ergonomic handles designed for Middle Eastern anatomical considerations, drove 52% of total revenue. Surgeons reported a 27% average reduction in procedure times for complex abdominal surgeries compared to legacy equipment. The system's compatibility with Iran's existing hospital IT infrastructure (a critical factor often overlooked by foreign vendors) was a decisive selling point.</w:t>
      </w:r>
    </w:p>
    <w:bookmarkEnd w:id="23"/>
    <w:bookmarkStart w:id="24" w:name="ai-integrated-surgical-assistants"/>
    <w:p>
      <w:pPr>
        <w:pStyle w:val="Heading3"/>
      </w:pPr>
      <w:r>
        <w:t xml:space="preserve">2. AI-Integrated Surgical Assistants</w:t>
      </w:r>
    </w:p>
    <w:p>
      <w:pPr>
        <w:pStyle w:val="FirstParagraph"/>
      </w:pPr>
      <w:r>
        <w:t xml:space="preserve">The "Surgical Insight" platform, offering real-time tissue differentiation and anomaly detection during operations, saw explosive demand. 14 of Tehran's top 20 teaching hospitals have initiated pilot programs. Surgeons highlighted how the system reduced critical decision-making time by up to 35% in complex vascular procedures – a feature paramount for high-volume urban centers like Tehran.</w:t>
      </w:r>
    </w:p>
    <w:bookmarkEnd w:id="24"/>
    <w:bookmarkStart w:id="25" w:name="training-simulation-modules"/>
    <w:p>
      <w:pPr>
        <w:pStyle w:val="Heading3"/>
      </w:pPr>
      <w:r>
        <w:t xml:space="preserve">3. Training &amp; Simulation Modules</w:t>
      </w:r>
    </w:p>
    <w:p>
      <w:pPr>
        <w:pStyle w:val="FirstParagraph"/>
      </w:pPr>
      <w:r>
        <w:t xml:space="preserve">A significant portion of sales growth came from our "Surgeon Excellence" training bundles, including virtual reality (VR) simulators tailored to common surgical pathologies prevalent in Iran's population. The Tehran Medical University became a flagship client, purchasing 25 full VR training stations – the largest single educational contract in our regional history.</w:t>
      </w:r>
    </w:p>
    <w:bookmarkEnd w:id="25"/>
    <w:bookmarkEnd w:id="26"/>
    <w:bookmarkStart w:id="27" w:name="X439a42db777fa7bc8c472732bb254165558d776"/>
    <w:p>
      <w:pPr>
        <w:pStyle w:val="Heading2"/>
      </w:pPr>
      <w:r>
        <w:t xml:space="preserve">Strategic Implementation: Tehran-Specific Localization</w:t>
      </w:r>
    </w:p>
    <w:p>
      <w:pPr>
        <w:pStyle w:val="FirstParagraph"/>
      </w:pPr>
      <w:r>
        <w:t xml:space="preserve">Success in Iran Tehran required deep localization beyond standard market entry:</w:t>
      </w:r>
    </w:p>
    <w:p>
      <w:pPr>
        <w:numPr>
          <w:ilvl w:val="0"/>
          <w:numId w:val="1003"/>
        </w:numPr>
        <w:pStyle w:val="Compact"/>
      </w:pPr>
      <w:r>
        <w:rPr>
          <w:iCs/>
          <w:i/>
        </w:rPr>
        <w:t xml:space="preserve">Cultural &amp; Linguistic Integration:</w:t>
      </w:r>
      <w:r>
        <w:t xml:space="preserve"> </w:t>
      </w:r>
      <w:r>
        <w:t xml:space="preserve">All surgeon training materials and device interfaces now feature Farsi language support with culturally appropriate visual examples. Technical manuals were co-developed with Iranian surgical societies.</w:t>
      </w:r>
    </w:p>
    <w:p>
      <w:pPr>
        <w:numPr>
          <w:ilvl w:val="0"/>
          <w:numId w:val="1003"/>
        </w:numPr>
        <w:pStyle w:val="Compact"/>
      </w:pPr>
      <w:r>
        <w:rPr>
          <w:iCs/>
          <w:i/>
        </w:rPr>
        <w:t xml:space="preserve">Logistics Optimization:</w:t>
      </w:r>
      <w:r>
        <w:t xml:space="preserve"> </w:t>
      </w:r>
      <w:r>
        <w:t xml:space="preserve">Established a dedicated Tehran-based warehouse (operational since Q1 2024) slashing delivery times from 45 days to under 7 business days for critical spare parts, directly addressing a major pain point for hospital administrators.</w:t>
      </w:r>
    </w:p>
    <w:p>
      <w:pPr>
        <w:numPr>
          <w:ilvl w:val="0"/>
          <w:numId w:val="1003"/>
        </w:numPr>
        <w:pStyle w:val="Compact"/>
      </w:pPr>
      <w:r>
        <w:rPr>
          <w:iCs/>
          <w:i/>
        </w:rPr>
        <w:t xml:space="preserve">Regulatory Navigation:</w:t>
      </w:r>
      <w:r>
        <w:t xml:space="preserve"> </w:t>
      </w:r>
      <w:r>
        <w:t xml:space="preserve">Worked closely with Iran's Food and Drug Administration (IRFDA) to secure expedited approvals for our latest surgical robotics line, avoiding the typical 12-18 month clearance timeline common in the region.</w:t>
      </w:r>
    </w:p>
    <w:bookmarkEnd w:id="27"/>
    <w:bookmarkStart w:id="28" w:name="challenges-strategic-response"/>
    <w:p>
      <w:pPr>
        <w:pStyle w:val="Heading2"/>
      </w:pPr>
      <w:r>
        <w:t xml:space="preserve">Challenges &amp; Strategic Response</w:t>
      </w:r>
    </w:p>
    <w:p>
      <w:pPr>
        <w:pStyle w:val="FirstParagraph"/>
      </w:pPr>
      <w:r>
        <w:t xml:space="preserve">Despite strong growth, we encountered:</w:t>
      </w:r>
    </w:p>
    <w:p>
      <w:pPr>
        <w:numPr>
          <w:ilvl w:val="0"/>
          <w:numId w:val="1004"/>
        </w:numPr>
        <w:pStyle w:val="Compact"/>
      </w:pPr>
      <w:r>
        <w:rPr>
          <w:iCs/>
          <w:i/>
        </w:rPr>
        <w:t xml:space="preserve">Currency Volatility:</w:t>
      </w:r>
      <w:r>
        <w:t xml:space="preserve"> </w:t>
      </w:r>
      <w:r>
        <w:t xml:space="preserve">Fluctuations in IRR/USD exchange rates impacted margin calculations. Response: Implemented dynamic pricing models with quarterly adjustments tied to official rates, protecting both client budgets and our profitability.</w:t>
      </w:r>
    </w:p>
    <w:p>
      <w:pPr>
        <w:numPr>
          <w:ilvl w:val="0"/>
          <w:numId w:val="1004"/>
        </w:numPr>
        <w:pStyle w:val="Compact"/>
      </w:pPr>
      <w:r>
        <w:rPr>
          <w:iCs/>
          <w:i/>
        </w:rPr>
        <w:t xml:space="preserve">Supply Chain Complexities:</w:t>
      </w:r>
      <w:r>
        <w:t xml:space="preserve"> </w:t>
      </w:r>
      <w:r>
        <w:t xml:space="preserve">Sanction-related logistics for certain components. Response: Accelerated local assembly of non-critical sub-components within Tehran's industrial park, creating 45 local jobs while enhancing supply chain resilience.</w:t>
      </w:r>
    </w:p>
    <w:bookmarkEnd w:id="28"/>
    <w:bookmarkStart w:id="29" w:name="X4eaf541b238d072578885a2463e68d456ef4181"/>
    <w:p>
      <w:pPr>
        <w:pStyle w:val="Heading2"/>
      </w:pPr>
      <w:r>
        <w:t xml:space="preserve">Future Outlook: The Surgeon-Centric Roadmap</w:t>
      </w:r>
    </w:p>
    <w:p>
      <w:pPr>
        <w:pStyle w:val="FirstParagraph"/>
      </w:pPr>
      <w:r>
        <w:t xml:space="preserve">The Iran Tehran market represents our most promising growth frontier. Our Q4 strategy focuses on:</w:t>
      </w:r>
    </w:p>
    <w:p>
      <w:pPr>
        <w:numPr>
          <w:ilvl w:val="0"/>
          <w:numId w:val="1005"/>
        </w:numPr>
        <w:pStyle w:val="Compact"/>
      </w:pPr>
      <w:r>
        <w:t xml:space="preserve">Expanding "Surgeon Advisory Panels" with leading Tehran-based surgical leaders to co-develop next-gen tools addressing local disease patterns (e.g., high prevalence of gallstone-related complications).</w:t>
      </w:r>
    </w:p>
    <w:p>
      <w:pPr>
        <w:numPr>
          <w:ilvl w:val="0"/>
          <w:numId w:val="1005"/>
        </w:numPr>
        <w:pStyle w:val="Compact"/>
      </w:pPr>
      <w:r>
        <w:t xml:space="preserve">Launching a dedicated Tehran-based after-sales support center staffed by Farsi-speaking biomedical engineers, reducing average service response times below 24 hours.</w:t>
      </w:r>
    </w:p>
    <w:p>
      <w:pPr>
        <w:numPr>
          <w:ilvl w:val="0"/>
          <w:numId w:val="1005"/>
        </w:numPr>
        <w:pStyle w:val="Compact"/>
      </w:pPr>
      <w:r>
        <w:t xml:space="preserve">Partnering with MOHME on a national initiative to deploy our SmartSuture™ technology across 50 public hospitals in Iran over the next 18 months, targeting reduced post-operative complications.</w:t>
      </w:r>
    </w:p>
    <w:bookmarkEnd w:id="29"/>
    <w:bookmarkStart w:id="30" w:name="Xf8ed6275a48ddcc61eafd07ce877ee046080077"/>
    <w:p>
      <w:pPr>
        <w:pStyle w:val="Heading2"/>
      </w:pPr>
      <w:r>
        <w:t xml:space="preserve">Conclusion: A New Era for Surgical Care in Tehran</w:t>
      </w:r>
    </w:p>
    <w:p>
      <w:pPr>
        <w:pStyle w:val="FirstParagraph"/>
      </w:pPr>
      <w:r>
        <w:t xml:space="preserve">This Q3 report validates that our surgeon-first approach is resonating powerfully within Iran Tehran's evolving healthcare landscape. The success isn't merely about selling equipment; it's about empowering the region's surgeons with tools that directly translate to better patient outcomes, increased operational efficiency, and enhanced professional satisfaction. As Tehran continues its journey toward becoming a regional surgical excellence hub, our partnership with Iranian</w:t>
      </w:r>
      <w:r>
        <w:t xml:space="preserve"> </w:t>
      </w:r>
      <w:r>
        <w:rPr>
          <w:bCs/>
          <w:b/>
        </w:rPr>
        <w:t xml:space="preserve">Surgeon</w:t>
      </w:r>
      <w:r>
        <w:t xml:space="preserve">s is not just a commercial relationship – it's an investment in the future of healthcare for millions across Iran. We project sustained double-digit growth for the remainder of 2024 and into 2025, solidifying Tehran as our most valuable market in the Middle East. The trajectory is clear: When solutions are designed *with* surgeons, not just *for* them, remarkable growth follows – especially in a dynamic medical ecosystem like Iran Tehran.</w:t>
      </w:r>
    </w:p>
    <w:p>
      <w:pPr>
        <w:pStyle w:val="BodyText"/>
      </w:pPr>
      <w:r>
        <w:rPr>
          <w:iCs/>
          <w:i/>
        </w:rPr>
        <w:t xml:space="preserve">Prepared by: Global Surgical Solutions - Middle East Division</w:t>
      </w:r>
      <w:r>
        <w:br/>
      </w:r>
      <w:r>
        <w:rPr>
          <w:iCs/>
          <w:i/>
        </w:rPr>
        <w:t xml:space="preserve">Report Date: October 15,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Surgical Solutions: Sales Report - Q3 2024</dc:title>
  <dc:creator/>
  <dc:language>en</dc:language>
  <cp:keywords/>
  <dcterms:created xsi:type="dcterms:W3CDTF">2026-07-22T00:54:29Z</dcterms:created>
  <dcterms:modified xsi:type="dcterms:W3CDTF">2026-07-22T00:54:29Z</dcterms:modified>
</cp:coreProperties>
</file>

<file path=docProps/custom.xml><?xml version="1.0" encoding="utf-8"?>
<Properties xmlns="http://schemas.openxmlformats.org/officeDocument/2006/custom-properties" xmlns:vt="http://schemas.openxmlformats.org/officeDocument/2006/docPropsVTypes"/>
</file>