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Performance</w:t>
      </w:r>
    </w:p>
    <w:bookmarkStart w:id="27" w:name="X386123f68661dbf497a919f4fe829d2eab2f5c3"/>
    <w:p>
      <w:pPr>
        <w:pStyle w:val="Heading1"/>
      </w:pPr>
      <w:r>
        <w:t xml:space="preserve">Quarterly Sales Report: Surgeon Product Portfolio - Italy Milan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Board</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Surgeon product portfolio has demonstrated exceptional growth trajectory in the Italy Milan healthcare ecosystem during Q3 2023, achieving a remarkable</w:t>
      </w:r>
      <w:r>
        <w:t xml:space="preserve"> </w:t>
      </w:r>
      <w:r>
        <w:rPr>
          <w:bCs/>
          <w:b/>
        </w:rPr>
        <w:t xml:space="preserve">19.7% year-over-year revenue increase</w:t>
      </w:r>
      <w:r>
        <w:t xml:space="preserve"> </w:t>
      </w:r>
      <w:r>
        <w:t xml:space="preserve">against a backdrop of evolving medical technology demands. This performance establishes Milan as our most dynamic market in continental Europe for surgical innovation solutions. The Surgeon platform's seamless integration with existing hospital IT infrastructure and focus on minimally invasive procedures have directly resonated with Milan's leading surgical centers, positioning us firmly at the forefront of Italy's advanced healthcare transformation. This report details key achievements, strategic insights, and actionable recommendations for sustaining momentum in the Milan market.</w:t>
      </w:r>
    </w:p>
    <w:bookmarkEnd w:id="20"/>
    <w:bookmarkStart w:id="21" w:name="X8aa9a32f220756c89c63f8cd13224cd7a7d2487"/>
    <w:p>
      <w:pPr>
        <w:pStyle w:val="Heading2"/>
      </w:pPr>
      <w:r>
        <w:t xml:space="preserve">II. Market Context: Surgeon Solutions in Italy Milan</w:t>
      </w:r>
    </w:p>
    <w:p>
      <w:pPr>
        <w:pStyle w:val="FirstParagraph"/>
      </w:pPr>
      <w:r>
        <w:t xml:space="preserve">Milan represents a critical hub for surgical innovation within Italy, home to 14 major teaching hospitals including IRCCS San Raffaele, Ospedale Maggiore Policlinico, and Niguarda Ca' Granda. The city's healthcare system faces intense pressure to modernize aging infrastructure while managing rising patient volumes. This has created a fertile ground for our</w:t>
      </w:r>
      <w:r>
        <w:t xml:space="preserve"> </w:t>
      </w:r>
      <w:r>
        <w:rPr>
          <w:iCs/>
          <w:i/>
        </w:rPr>
        <w:t xml:space="preserve">Surgeon</w:t>
      </w:r>
      <w:r>
        <w:t xml:space="preserve"> </w:t>
      </w:r>
      <w:r>
        <w:t xml:space="preserve">suite—a next-generation surgical navigation and data analytics platform designed specifically for complex procedure optimization. Unlike traditional systems, Surgeon offers real-time intraoperative guidance coupled with predictive analytics, directly addressing Milan's clinical priority of reducing surgical complication rates (currently 8.2% citywide per Agenzia Nazionale per i Servizi Sanitari).</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w:t>
            </w:r>
          </w:p>
        </w:tc>
        <w:tc>
          <w:tcPr/>
          <w:p>
            <w:pPr>
              <w:pStyle w:val="Compact"/>
              <w:jc w:val="left"/>
            </w:pPr>
            <w:r>
              <w:t xml:space="preserve">% Growth vs Q2</w:t>
            </w:r>
          </w:p>
        </w:tc>
        <w:tc>
          <w:tcPr/>
          <w:p>
            <w:pPr>
              <w:pStyle w:val="Compact"/>
              <w:jc w:val="left"/>
            </w:pPr>
            <w:r>
              <w:t xml:space="preserve">Key Milan Clients Acquired</w:t>
            </w:r>
          </w:p>
        </w:tc>
      </w:tr>
      <w:tr>
        <w:tc>
          <w:tcPr/>
          <w:p>
            <w:pPr>
              <w:pStyle w:val="Compact"/>
              <w:jc w:val="left"/>
            </w:pPr>
            <w:r>
              <w:t xml:space="preserve">Surgeon Core Navigation System</w:t>
            </w:r>
          </w:p>
        </w:tc>
        <w:tc>
          <w:tcPr/>
          <w:p>
            <w:pPr>
              <w:pStyle w:val="Compact"/>
              <w:jc w:val="left"/>
            </w:pPr>
            <w:r>
              <w:t xml:space="preserve">€1,845,000</w:t>
            </w:r>
          </w:p>
        </w:tc>
        <w:tc>
          <w:tcPr/>
          <w:p>
            <w:pPr>
              <w:pStyle w:val="Compact"/>
              <w:jc w:val="left"/>
            </w:pPr>
            <w:r>
              <w:t xml:space="preserve">+22.3%</w:t>
            </w:r>
          </w:p>
        </w:tc>
        <w:tc>
          <w:tcPr/>
          <w:p>
            <w:pPr>
              <w:pStyle w:val="Compact"/>
              <w:jc w:val="left"/>
            </w:pPr>
            <w:r>
              <w:t xml:space="preserve">San Raffaele Hospital (3 units), Ospedale Niguarda (1 unit)</w:t>
            </w:r>
          </w:p>
        </w:tc>
      </w:tr>
      <w:tr>
        <w:tc>
          <w:tcPr/>
          <w:p>
            <w:pPr>
              <w:pStyle w:val="Compact"/>
              <w:jc w:val="left"/>
            </w:pPr>
            <w:r>
              <w:t xml:space="preserve">Surgeon Analytics Module</w:t>
            </w:r>
          </w:p>
        </w:tc>
        <w:tc>
          <w:tcPr/>
          <w:p>
            <w:pPr>
              <w:pStyle w:val="Compact"/>
              <w:jc w:val="left"/>
            </w:pPr>
            <w:r>
              <w:t xml:space="preserve">€789,000</w:t>
            </w:r>
          </w:p>
        </w:tc>
        <w:tc>
          <w:tcPr/>
          <w:p>
            <w:pPr>
              <w:pStyle w:val="Compact"/>
              <w:jc w:val="left"/>
            </w:pPr>
            <w:r>
              <w:t xml:space="preserve">+15.8%</w:t>
            </w:r>
          </w:p>
        </w:tc>
        <w:tc>
          <w:tcPr/>
          <w:p>
            <w:pPr>
              <w:pStyle w:val="Compact"/>
              <w:jc w:val="left"/>
            </w:pPr>
            <w:r>
              <w:t xml:space="preserve">Policlinico di Milan (Enterprise License), Casa di Cura Villa Stuart</w:t>
            </w:r>
          </w:p>
        </w:tc>
      </w:tr>
      <w:tr>
        <w:tc>
          <w:tcPr/>
          <w:p>
            <w:pPr>
              <w:pStyle w:val="Compact"/>
              <w:jc w:val="left"/>
            </w:pPr>
            <w:r>
              <w:t xml:space="preserve">Surgeon Mobile App Suite</w:t>
            </w:r>
          </w:p>
        </w:tc>
        <w:tc>
          <w:tcPr/>
          <w:p>
            <w:pPr>
              <w:pStyle w:val="Compact"/>
              <w:jc w:val="left"/>
            </w:pPr>
            <w:r>
              <w:t xml:space="preserve">€247,000</w:t>
            </w:r>
          </w:p>
        </w:tc>
        <w:tc>
          <w:tcPr/>
          <w:p>
            <w:pPr>
              <w:pStyle w:val="Compact"/>
              <w:jc w:val="left"/>
            </w:pPr>
            <w:r>
              <w:t xml:space="preserve">+33.1%</w:t>
            </w:r>
          </w:p>
        </w:tc>
        <w:tc>
          <w:tcPr/>
          <w:p>
            <w:pPr>
              <w:pStyle w:val="Compact"/>
              <w:jc w:val="left"/>
            </w:pPr>
            <w:r>
              <w:t xml:space="preserve">All 5 major private surgical clinics in Milan District</w:t>
            </w:r>
          </w:p>
        </w:tc>
      </w:tr>
    </w:tbl>
    <w:p>
      <w:pPr>
        <w:pStyle w:val="BodyText"/>
      </w:pPr>
      <w:r>
        <w:t xml:space="preserve">The Surgeon portfolio's market share in Milan's high-end surgical navigation segment has grown to 27.4%, surpassing competitors' combined penetration rate of 19.8%. Notably, the</w:t>
      </w:r>
      <w:r>
        <w:t xml:space="preserve"> </w:t>
      </w:r>
      <w:r>
        <w:rPr>
          <w:bCs/>
          <w:b/>
        </w:rPr>
        <w:t xml:space="preserve">Surgeon Analytics Module</w:t>
      </w:r>
      <w:r>
        <w:t xml:space="preserve"> </w:t>
      </w:r>
      <w:r>
        <w:t xml:space="preserve">showed extraordinary adoption among Milan's private healthcare providers, driven by its FDA-cleared predictive risk assessment capabilities—a feature particularly valued in Italy's stringent patient safety regulations.</w:t>
      </w:r>
    </w:p>
    <w:bookmarkEnd w:id="22"/>
    <w:bookmarkStart w:id="23" w:name="Xe5d67402ce78d1be986d0cf795c62cdaa45977c"/>
    <w:p>
      <w:pPr>
        <w:pStyle w:val="Heading2"/>
      </w:pPr>
      <w:r>
        <w:t xml:space="preserve">IV. Strategic Market Insights: Why Surgeon Succeeds in Milan</w:t>
      </w:r>
    </w:p>
    <w:p>
      <w:pPr>
        <w:pStyle w:val="FirstParagraph"/>
      </w:pPr>
      <w:r>
        <w:t xml:space="preserve">Our success stems from three pillars deeply aligned with Milan's healthcare imperatives:</w:t>
      </w:r>
    </w:p>
    <w:p>
      <w:pPr>
        <w:numPr>
          <w:ilvl w:val="0"/>
          <w:numId w:val="1001"/>
        </w:numPr>
        <w:pStyle w:val="Compact"/>
      </w:pPr>
      <w:r>
        <w:rPr>
          <w:bCs/>
          <w:b/>
        </w:rPr>
        <w:t xml:space="preserve">Clinical Integration Excellence:</w:t>
      </w:r>
      <w:r>
        <w:t xml:space="preserve"> </w:t>
      </w:r>
      <w:r>
        <w:t xml:space="preserve">Surgeon’s API compatibility with Italy's dominant hospital information systems (HIS), including the widely used MEDCARE platform, eliminated installation barriers for Milan hospitals. This contrasts sharply with competitors requiring costly system overhauls.</w:t>
      </w:r>
    </w:p>
    <w:p>
      <w:pPr>
        <w:numPr>
          <w:ilvl w:val="0"/>
          <w:numId w:val="1001"/>
        </w:numPr>
        <w:pStyle w:val="Compact"/>
      </w:pPr>
      <w:r>
        <w:rPr>
          <w:bCs/>
          <w:b/>
        </w:rPr>
        <w:t xml:space="preserve">Regulatory Alignment:</w:t>
      </w:r>
      <w:r>
        <w:t xml:space="preserve"> </w:t>
      </w:r>
      <w:r>
        <w:t xml:space="preserve">The Surgeon suite achieved CE Marking with specific Italian compliance annotations (DM 240/2017) before the European Medical Device Regulation (MDR) deadline, a critical factor in Milan procurement cycles where regulatory delays are common.</w:t>
      </w:r>
    </w:p>
    <w:p>
      <w:pPr>
        <w:numPr>
          <w:ilvl w:val="0"/>
          <w:numId w:val="1001"/>
        </w:numPr>
        <w:pStyle w:val="Compact"/>
      </w:pPr>
      <w:r>
        <w:rPr>
          <w:bCs/>
          <w:b/>
        </w:rPr>
        <w:t xml:space="preserve">Cultural Resonance:</w:t>
      </w:r>
      <w:r>
        <w:t xml:space="preserve"> </w:t>
      </w:r>
      <w:r>
        <w:t xml:space="preserve">Our Milan-based field team—composed of bilingual surgeons and healthcare consultants—provided nuanced understanding of local surgical protocols. For instance, tailoring Surgeon's liver resection module to match the unique anatomical approaches used in Italian hepatobiliary surgery significantly accelerated adoption.</w:t>
      </w:r>
    </w:p>
    <w:bookmarkEnd w:id="23"/>
    <w:bookmarkStart w:id="24" w:name="v.-challenges-mitigation-strategies"/>
    <w:p>
      <w:pPr>
        <w:pStyle w:val="Heading2"/>
      </w:pPr>
      <w:r>
        <w:t xml:space="preserve">V. Challenges &amp; Mitigation Strategies</w:t>
      </w:r>
    </w:p>
    <w:p>
      <w:pPr>
        <w:pStyle w:val="FirstParagraph"/>
      </w:pPr>
      <w:r>
        <w:t xml:space="preserve">Despite strong growth, two challenges emerged requiring immediate attention:</w:t>
      </w:r>
    </w:p>
    <w:p>
      <w:pPr>
        <w:numPr>
          <w:ilvl w:val="0"/>
          <w:numId w:val="1002"/>
        </w:numPr>
        <w:pStyle w:val="Compact"/>
      </w:pPr>
      <w:r>
        <w:rPr>
          <w:bCs/>
          <w:b/>
        </w:rPr>
        <w:t xml:space="preserve">Supply Chain Delays:</w:t>
      </w:r>
      <w:r>
        <w:t xml:space="preserve"> </w:t>
      </w:r>
      <w:r>
        <w:t xml:space="preserve">Component shortages for surgical robotics integration impacted 8% of orders. *Mitigation:* We've established a dedicated Milan-based micro-warehouse with 30 days' inventory for critical components, reducing lead times from 14 to 5 business days.</w:t>
      </w:r>
    </w:p>
    <w:p>
      <w:pPr>
        <w:numPr>
          <w:ilvl w:val="0"/>
          <w:numId w:val="1002"/>
        </w:numPr>
        <w:pStyle w:val="Compact"/>
      </w:pPr>
      <w:r>
        <w:rPr>
          <w:bCs/>
          <w:b/>
        </w:rPr>
        <w:t xml:space="preserve">Competitor Price Pressure:</w:t>
      </w:r>
      <w:r>
        <w:t xml:space="preserve"> </w:t>
      </w:r>
      <w:r>
        <w:t xml:space="preserve">A German rival offered aggressive discounting on basic navigation systems. *Mitigation:* We pivoted to a bundled "Surgeon Excellence Package" (Core System + Analytics + Training) at €225,000 vs competitor's €198,000—a 4.7% price premium justified by superior long-term ROI data presented through Milan-specific case studies.</w:t>
      </w:r>
    </w:p>
    <w:bookmarkEnd w:id="24"/>
    <w:bookmarkStart w:id="25" w:name="X17432e1d8889d25c79c6752bc536de186270fec"/>
    <w:p>
      <w:pPr>
        <w:pStyle w:val="Heading2"/>
      </w:pPr>
      <w:r>
        <w:t xml:space="preserve">VI. Future Outlook: Surgeon in Italy Milan Market Expansion</w:t>
      </w:r>
    </w:p>
    <w:p>
      <w:pPr>
        <w:pStyle w:val="FirstParagraph"/>
      </w:pPr>
      <w:r>
        <w:t xml:space="preserve">Milan represents the launchpad for our entire Italian strategy. Based on Q3 momentum, we project:</w:t>
      </w:r>
    </w:p>
    <w:p>
      <w:pPr>
        <w:numPr>
          <w:ilvl w:val="0"/>
          <w:numId w:val="1003"/>
        </w:numPr>
        <w:pStyle w:val="Compact"/>
      </w:pPr>
      <w:r>
        <w:t xml:space="preserve">Full-year 2023 revenue target of €5.4M (18% above original forecast)</w:t>
      </w:r>
    </w:p>
    <w:p>
      <w:pPr>
        <w:numPr>
          <w:ilvl w:val="0"/>
          <w:numId w:val="1003"/>
        </w:numPr>
        <w:pStyle w:val="Compact"/>
      </w:pPr>
      <w:r>
        <w:t xml:space="preserve">Expansion into Lombardy's regional surgical networks via the Milan hospital hub</w:t>
      </w:r>
    </w:p>
    <w:p>
      <w:pPr>
        <w:numPr>
          <w:ilvl w:val="0"/>
          <w:numId w:val="1003"/>
        </w:numPr>
        <w:pStyle w:val="Compact"/>
      </w:pPr>
      <w:r>
        <w:t xml:space="preserve">Development of a "Surgeon for Regional Clinics" tier tailored to smaller healthcare facilities across Lombardy</w:t>
      </w:r>
    </w:p>
    <w:p>
      <w:pPr>
        <w:pStyle w:val="FirstParagraph"/>
      </w:pPr>
      <w:r>
        <w:t xml:space="preserve">Critical to this expansion is establishing the *Surgeon Milan Innovation Lab*—a partnership with Università degli Studi di Milano to co-develop AI algorithms specifically for prevalent Italian surgical cases (e.g., gastric bypass, orthopedic trauma). This initiative directly supports Italy's national "Digital Health 2030" strategy and positions Surgeon as a collaborator, not just a vendor.</w:t>
      </w:r>
    </w:p>
    <w:bookmarkEnd w:id="25"/>
    <w:bookmarkStart w:id="26" w:name="vii.-conclusion"/>
    <w:p>
      <w:pPr>
        <w:pStyle w:val="Heading2"/>
      </w:pPr>
      <w:r>
        <w:t xml:space="preserve">VII. Conclusion</w:t>
      </w:r>
    </w:p>
    <w:p>
      <w:pPr>
        <w:pStyle w:val="FirstParagraph"/>
      </w:pPr>
      <w:r>
        <w:t xml:space="preserve">The Surgeon product portfolio has unequivocally established itself as the preferred surgical technology solution within Italy Milan's elite healthcare institutions. This success stems from deep market understanding, regulatory foresight, and clinical relevance—not merely price competition. As we move into Q4 2023, our focus remains on scaling the Milan model across Italy while continuously refining Surgeon to address emerging needs in the city's dynamic medical landscape. The results of this quarter confirm that Surgeon isn't just meeting market demands; it's actively shaping the future of surgical excellence in Italy Milan, one procedure at a time.</w:t>
      </w:r>
    </w:p>
    <w:p>
      <w:pPr>
        <w:pStyle w:val="BodyText"/>
      </w:pPr>
      <w:r>
        <w:rPr>
          <w:bCs/>
          <w:b/>
        </w:rPr>
        <w:t xml:space="preserve">Prepared By:</w:t>
      </w:r>
      <w:r>
        <w:t xml:space="preserve"> </w:t>
      </w:r>
      <w:r>
        <w:t xml:space="preserve">Marco Rossi, Regional Sales Director - Italy &amp; Switzerland</w:t>
      </w:r>
    </w:p>
    <w:p>
      <w:pPr>
        <w:pStyle w:val="BodyText"/>
      </w:pPr>
      <w:r>
        <w:rPr>
          <w:iCs/>
          <w:i/>
        </w:rPr>
        <w:t xml:space="preserve">This report complies with Italian Data Protection Authority (Garante per la protezione dei dati personali) guidelines for medical technology sales documentation.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Sales Report: Italy Milan Market Performance</dc:title>
  <dc:creator/>
  <dc:language>en</dc:language>
  <cp:keywords/>
  <dcterms:created xsi:type="dcterms:W3CDTF">2025-12-12T02:51:44Z</dcterms:created>
  <dcterms:modified xsi:type="dcterms:W3CDTF">2025-12-12T02:51:44Z</dcterms:modified>
</cp:coreProperties>
</file>

<file path=docProps/custom.xml><?xml version="1.0" encoding="utf-8"?>
<Properties xmlns="http://schemas.openxmlformats.org/officeDocument/2006/custom-properties" xmlns:vt="http://schemas.openxmlformats.org/officeDocument/2006/docPropsVTypes"/>
</file>