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Surgeon</w:t>
      </w:r>
      <w:r>
        <w:t xml:space="preserve"> </w:t>
      </w:r>
      <w:r>
        <w:t xml:space="preserve">Medical</w:t>
      </w:r>
      <w:r>
        <w:t xml:space="preserve"> </w:t>
      </w:r>
      <w:r>
        <w:t xml:space="preserve">Innovations</w:t>
      </w:r>
      <w:r>
        <w:t xml:space="preserve"> </w:t>
      </w:r>
      <w:r>
        <w:t xml:space="preserve">-</w:t>
      </w:r>
      <w:r>
        <w:t xml:space="preserve"> </w:t>
      </w:r>
      <w:r>
        <w:t xml:space="preserve">Kyoto</w:t>
      </w:r>
      <w:r>
        <w:t xml:space="preserve"> </w:t>
      </w:r>
      <w:r>
        <w:t xml:space="preserve">Market</w:t>
      </w:r>
      <w:r>
        <w:t xml:space="preserve"> </w:t>
      </w:r>
      <w:r>
        <w:t xml:space="preserve">Performance</w:t>
      </w:r>
    </w:p>
    <w:bookmarkStart w:id="29" w:name="X45969127c66ea6ea73cef8dfa53f7a33e2133a1"/>
    <w:p>
      <w:pPr>
        <w:pStyle w:val="Heading1"/>
      </w:pPr>
      <w:r>
        <w:t xml:space="preserve">Official Sales Report: Surgeon Medical Innovations - Japan Kyoto Territory (Q3 2023)</w:t>
      </w:r>
    </w:p>
    <w:bookmarkStart w:id="20" w:name="executive-summary"/>
    <w:p>
      <w:pPr>
        <w:pStyle w:val="Heading2"/>
      </w:pPr>
      <w:r>
        <w:t xml:space="preserve">Executive Summary</w:t>
      </w:r>
    </w:p>
    <w:p>
      <w:pPr>
        <w:pStyle w:val="FirstParagraph"/>
      </w:pPr>
      <w:r>
        <w:t xml:space="preserve">This comprehensive Sales Report details the performance of Surgeon Medical Innovations within the Japan Kyoto healthcare market during Q3 2023. The report demonstrates a significant 18.7% year-over-year growth in surgical device sales, establishing Surgeon as a pivotal partner for leading hospitals across Kyoto Prefecture. This success is attributed to localized product adaptation, strategic partnerships with Kyoto-based medical institutions, and an unwavering commitment to precision surgery solutions aligned with Japan's healthcare excellence standards.</w:t>
      </w:r>
    </w:p>
    <w:bookmarkEnd w:id="20"/>
    <w:bookmarkStart w:id="21" w:name="X2fa49d35605733d8060ff062773a4c556257774"/>
    <w:p>
      <w:pPr>
        <w:pStyle w:val="Heading2"/>
      </w:pPr>
      <w:r>
        <w:t xml:space="preserve">Market Context: Japan Kyoto Healthcare Landscape</w:t>
      </w:r>
    </w:p>
    <w:p>
      <w:pPr>
        <w:pStyle w:val="FirstParagraph"/>
      </w:pPr>
      <w:r>
        <w:t xml:space="preserve">Japan's aging population places exceptional demand on surgical services, particularly in culturally rich and medically advanced regions like Kyoto. With 65% of Kyoto’s population aged 65+, the city’s hospitals face unprecedented pressure to deliver minimally invasive, high-precision procedures. Kyoto Prefectural Government data confirms a 12% annual increase in orthopedic and cardiovascular surgeries since 2020. Surgeon Medical Innovations strategically positioned itself to address this critical need within Japan Kyoto's unique ecosystem, where surgical excellence is intertwined with cultural reverence for meticulous craftsmanship.</w:t>
      </w:r>
    </w:p>
    <w:bookmarkEnd w:id="21"/>
    <w:bookmarkStart w:id="22" w:name="X55920daaf935bdebc72eae1618886c88c25997c"/>
    <w:p>
      <w:pPr>
        <w:pStyle w:val="Heading2"/>
      </w:pPr>
      <w:r>
        <w:t xml:space="preserve">Surgeon Product Performance: Kyoto Market Focus</w:t>
      </w:r>
    </w:p>
    <w:p>
      <w:pPr>
        <w:pStyle w:val="FirstParagraph"/>
      </w:pPr>
      <w:r>
        <w:t xml:space="preserve">The "Surgeon Precision" line of robotic-assisted surgical tools and AI-guided instrumentation has become the preferred solution among Kyoto's top-tier medical facilities. Key achievements include:</w:t>
      </w:r>
    </w:p>
    <w:p>
      <w:pPr>
        <w:numPr>
          <w:ilvl w:val="0"/>
          <w:numId w:val="1001"/>
        </w:numPr>
        <w:pStyle w:val="Compact"/>
      </w:pPr>
      <w:r>
        <w:rPr>
          <w:bCs/>
          <w:b/>
        </w:rPr>
        <w:t xml:space="preserve">Market Penetration:</w:t>
      </w:r>
      <w:r>
        <w:t xml:space="preserve"> </w:t>
      </w:r>
      <w:r>
        <w:t xml:space="preserve">47% adoption rate at Kyoto University Hospital (up from 32% YoY), securing its status as the hospital’s primary surgical technology partner.</w:t>
      </w:r>
    </w:p>
    <w:p>
      <w:pPr>
        <w:numPr>
          <w:ilvl w:val="0"/>
          <w:numId w:val="1001"/>
        </w:numPr>
        <w:pStyle w:val="Compact"/>
      </w:pPr>
      <w:r>
        <w:rPr>
          <w:bCs/>
          <w:b/>
        </w:rPr>
        <w:t xml:space="preserve">Key Product Success:</w:t>
      </w:r>
      <w:r>
        <w:t xml:space="preserve"> </w:t>
      </w:r>
      <w:r>
        <w:t xml:space="preserve">The "Surgeon Pro-Edge" arthroscopic system recorded a 210% sales surge in Kyoto, driven by demand for knee replacement procedures among elderly patients.</w:t>
      </w:r>
    </w:p>
    <w:p>
      <w:pPr>
        <w:numPr>
          <w:ilvl w:val="0"/>
          <w:numId w:val="1001"/>
        </w:numPr>
        <w:pStyle w:val="Compact"/>
      </w:pPr>
      <w:r>
        <w:rPr>
          <w:bCs/>
          <w:b/>
        </w:rPr>
        <w:t xml:space="preserve">Strategic Partnerships:</w:t>
      </w:r>
      <w:r>
        <w:t xml:space="preserve"> </w:t>
      </w:r>
      <w:r>
        <w:t xml:space="preserve">Signed exclusive distribution agreements with Kyoto Medical Consortium (KMC), representing 32 hospitals across the prefecture, including the historic Gion Clinic.</w:t>
      </w:r>
    </w:p>
    <w:bookmarkEnd w:id="22"/>
    <w:bookmarkStart w:id="23" w:name="sales-data-japan-kyoto-territory-q3-2023"/>
    <w:p>
      <w:pPr>
        <w:pStyle w:val="Heading2"/>
      </w:pPr>
      <w:r>
        <w:t xml:space="preserve">Sales Data: Japan Kyoto Territory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Units Sold (Kyoto)</w:t>
            </w:r>
          </w:p>
        </w:tc>
        <w:tc>
          <w:tcPr/>
          <w:p>
            <w:pPr>
              <w:pStyle w:val="Compact"/>
              <w:jc w:val="left"/>
            </w:pPr>
            <w:r>
              <w:t xml:space="preserve">Revenue (JPY)</w:t>
            </w:r>
          </w:p>
        </w:tc>
        <w:tc>
          <w:tcPr/>
          <w:p>
            <w:pPr>
              <w:pStyle w:val="Compact"/>
              <w:jc w:val="left"/>
            </w:pPr>
            <w:r>
              <w:t xml:space="preserve">% YoY Growth</w:t>
            </w:r>
          </w:p>
        </w:tc>
      </w:tr>
      <w:tr>
        <w:tc>
          <w:tcPr/>
          <w:p>
            <w:pPr>
              <w:pStyle w:val="Compact"/>
              <w:jc w:val="left"/>
            </w:pPr>
            <w:r>
              <w:t xml:space="preserve">Surgeon Pro-Edge Arthroscopy</w:t>
            </w:r>
          </w:p>
        </w:tc>
        <w:tc>
          <w:tcPr/>
          <w:p>
            <w:pPr>
              <w:pStyle w:val="Compact"/>
              <w:jc w:val="left"/>
            </w:pPr>
            <w:r>
              <w:t xml:space="preserve">142</w:t>
            </w:r>
          </w:p>
        </w:tc>
        <w:tc>
          <w:tcPr/>
          <w:p>
            <w:pPr>
              <w:pStyle w:val="Compact"/>
              <w:jc w:val="left"/>
            </w:pPr>
            <w:r>
              <w:t xml:space="preserve">¥89,200,000</w:t>
            </w:r>
          </w:p>
        </w:tc>
        <w:tc>
          <w:tcPr/>
          <w:p>
            <w:pPr>
              <w:pStyle w:val="Compact"/>
              <w:jc w:val="left"/>
            </w:pPr>
            <w:r>
              <w:t xml:space="preserve">+215%</w:t>
            </w:r>
          </w:p>
        </w:tc>
      </w:tr>
      <w:tr>
        <w:tc>
          <w:tcPr/>
          <w:p>
            <w:pPr>
              <w:pStyle w:val="Compact"/>
              <w:jc w:val="left"/>
            </w:pPr>
            <w:r>
              <w:t xml:space="preserve">SurgiVision AI Guidance System</w:t>
            </w:r>
          </w:p>
        </w:tc>
        <w:tc>
          <w:tcPr/>
          <w:p>
            <w:pPr>
              <w:pStyle w:val="Compact"/>
              <w:jc w:val="left"/>
            </w:pPr>
            <w:r>
              <w:t xml:space="preserve">67</w:t>
            </w:r>
          </w:p>
        </w:tc>
        <w:tc>
          <w:tcPr/>
          <w:p>
            <w:pPr>
              <w:pStyle w:val="Compact"/>
              <w:jc w:val="left"/>
            </w:pPr>
            <w:r>
              <w:t xml:space="preserve">¥43,750,000</w:t>
            </w:r>
          </w:p>
        </w:tc>
        <w:tc>
          <w:tcPr/>
          <w:p>
            <w:pPr>
              <w:pStyle w:val="Compact"/>
              <w:jc w:val="left"/>
            </w:pPr>
            <w:r>
              <w:t xml:space="preserve">+89%</w:t>
            </w:r>
          </w:p>
        </w:tc>
      </w:tr>
      <w:tr>
        <w:tc>
          <w:tcPr/>
          <w:p>
            <w:pPr>
              <w:pStyle w:val="Compact"/>
              <w:jc w:val="left"/>
            </w:pPr>
            <w:r>
              <w:t xml:space="preserve">Surgical Robotics Suite (Surgeon Prime)</w:t>
            </w:r>
          </w:p>
        </w:tc>
        <w:tc>
          <w:tcPr/>
          <w:p>
            <w:pPr>
              <w:pStyle w:val="Compact"/>
              <w:jc w:val="left"/>
            </w:pPr>
            <w:r>
              <w:t xml:space="preserve">18</w:t>
            </w:r>
          </w:p>
        </w:tc>
        <w:tc>
          <w:tcPr/>
          <w:p>
            <w:pPr>
              <w:pStyle w:val="Compact"/>
              <w:jc w:val="left"/>
            </w:pPr>
            <w:r>
              <w:t xml:space="preserve">¥215,600,000</w:t>
            </w:r>
          </w:p>
        </w:tc>
        <w:tc>
          <w:tcPr/>
          <w:p>
            <w:pPr>
              <w:pStyle w:val="Compact"/>
              <w:jc w:val="left"/>
            </w:pPr>
            <w:r>
              <w:t xml:space="preserve">+47%</w:t>
            </w:r>
          </w:p>
        </w:tc>
      </w:tr>
      <w:tr>
        <w:tc>
          <w:tcPr/>
          <w:p>
            <w:pPr>
              <w:pStyle w:val="Compact"/>
              <w:jc w:val="left"/>
            </w:pPr>
            <w:r>
              <w:t xml:space="preserve">Total Kyoto Revenue</w:t>
            </w:r>
          </w:p>
        </w:tc>
        <w:tc>
          <w:tcPr/>
          <w:p>
            <w:pPr>
              <w:pStyle w:val="Compact"/>
              <w:jc w:val="left"/>
            </w:pPr>
            <w:r>
              <w:rPr>
                <w:bCs/>
                <w:b/>
              </w:rPr>
              <w:t xml:space="preserve">227 Units</w:t>
            </w:r>
          </w:p>
        </w:tc>
        <w:tc>
          <w:tcPr/>
          <w:p>
            <w:pPr>
              <w:pStyle w:val="Compact"/>
              <w:jc w:val="left"/>
            </w:pPr>
            <w:r>
              <w:rPr>
                <w:bCs/>
                <w:b/>
              </w:rPr>
              <w:t xml:space="preserve">¥348,550,000</w:t>
            </w:r>
          </w:p>
        </w:tc>
        <w:tc>
          <w:tcPr/>
          <w:p>
            <w:pPr>
              <w:pStyle w:val="Compact"/>
              <w:jc w:val="left"/>
            </w:pPr>
            <w:r>
              <w:rPr>
                <w:bCs/>
                <w:b/>
              </w:rPr>
              <w:t xml:space="preserve">+18.7%</w:t>
            </w:r>
          </w:p>
        </w:tc>
      </w:tr>
    </w:tbl>
    <w:bookmarkEnd w:id="23"/>
    <w:bookmarkStart w:id="24" w:name="X94fc9f1427df1f88dc454e8450b87ab5fa19ff3"/>
    <w:p>
      <w:pPr>
        <w:pStyle w:val="Heading2"/>
      </w:pPr>
      <w:r>
        <w:t xml:space="preserve">Cultural Integration: Why Surgeon Resonates in Kyoto</w:t>
      </w:r>
    </w:p>
    <w:p>
      <w:pPr>
        <w:pStyle w:val="FirstParagraph"/>
      </w:pPr>
      <w:r>
        <w:t xml:space="preserve">Surgeon's success in Japan Kyoto stems from deep cultural alignment. Unlike global competitors, our team embedded local medical advisors at every stage, including retired surgeons from the historic Kitano Hospital. We adapted product interfaces to prioritize Japanese surgical workflows—reducing screen brightness for low-light operating rooms (common in Kyoto’s traditional hospitals) and incorporating kanji language support. This respect for Kyoto's medical traditions fostered unparalleled trust: 92% of surveyed hospitals cited "cultural understanding" as the primary reason for choosing Surgeon over international rivals.</w:t>
      </w:r>
    </w:p>
    <w:bookmarkEnd w:id="24"/>
    <w:bookmarkStart w:id="25" w:name="challenges-mitigation-strategies"/>
    <w:p>
      <w:pPr>
        <w:pStyle w:val="Heading2"/>
      </w:pPr>
      <w:r>
        <w:t xml:space="preserve">Challenges &amp; Mitigation Strategies</w:t>
      </w:r>
    </w:p>
    <w:p>
      <w:pPr>
        <w:pStyle w:val="FirstParagraph"/>
      </w:pPr>
      <w:r>
        <w:t xml:space="preserve">Key challenges in Japan Kyoto included stringent regulatory compliance (MHLW approvals) and competition from established Japanese medical giants. To overcome this:</w:t>
      </w:r>
    </w:p>
    <w:p>
      <w:pPr>
        <w:numPr>
          <w:ilvl w:val="0"/>
          <w:numId w:val="1002"/>
        </w:numPr>
        <w:pStyle w:val="Compact"/>
      </w:pPr>
      <w:r>
        <w:rPr>
          <w:bCs/>
          <w:b/>
        </w:rPr>
        <w:t xml:space="preserve">Regulatory Agility:</w:t>
      </w:r>
      <w:r>
        <w:t xml:space="preserve"> </w:t>
      </w:r>
      <w:r>
        <w:t xml:space="preserve">Dedicated Kyoto compliance team reduced approval timelines by 34% through proactive engagement with the Ministry of Health.</w:t>
      </w:r>
    </w:p>
    <w:p>
      <w:pPr>
        <w:numPr>
          <w:ilvl w:val="0"/>
          <w:numId w:val="1002"/>
        </w:numPr>
        <w:pStyle w:val="Compact"/>
      </w:pPr>
      <w:r>
        <w:rPr>
          <w:bCs/>
          <w:b/>
        </w:rPr>
        <w:t xml:space="preserve">Local Talent Integration:</w:t>
      </w:r>
      <w:r>
        <w:t xml:space="preserve"> </w:t>
      </w:r>
      <w:r>
        <w:t xml:space="preserve">Hired Kyoto-based sales engineers fluent in both Japanese and surgical terminology, increasing client trust by 60%.</w:t>
      </w:r>
    </w:p>
    <w:p>
      <w:pPr>
        <w:numPr>
          <w:ilvl w:val="0"/>
          <w:numId w:val="1002"/>
        </w:numPr>
        <w:pStyle w:val="Compact"/>
      </w:pPr>
      <w:r>
        <w:rPr>
          <w:bCs/>
          <w:b/>
        </w:rPr>
        <w:t xml:space="preserve">Community Engagement:</w:t>
      </w:r>
      <w:r>
        <w:t xml:space="preserve"> </w:t>
      </w:r>
      <w:r>
        <w:t xml:space="preserve">Partnered with Kyoto University’s surgery department for free precision training workshops, directly addressing skill gaps in rural Kyōto hospitals.</w:t>
      </w:r>
    </w:p>
    <w:bookmarkEnd w:id="25"/>
    <w:bookmarkStart w:id="26" w:name="Xd80b0350d58c34f948ebe5541c864bf65af755b"/>
    <w:p>
      <w:pPr>
        <w:pStyle w:val="Heading2"/>
      </w:pPr>
      <w:r>
        <w:t xml:space="preserve">Future Strategy: Scaling Surgeon's Legacy in Japan Kyoto</w:t>
      </w:r>
    </w:p>
    <w:p>
      <w:pPr>
        <w:pStyle w:val="FirstParagraph"/>
      </w:pPr>
      <w:r>
        <w:t xml:space="preserve">The next phase centers on cementing Surgeon as the definitive name in Kyoto surgical innovation. Plans include:</w:t>
      </w:r>
    </w:p>
    <w:p>
      <w:pPr>
        <w:numPr>
          <w:ilvl w:val="0"/>
          <w:numId w:val="1003"/>
        </w:numPr>
        <w:pStyle w:val="Compact"/>
      </w:pPr>
      <w:r>
        <w:rPr>
          <w:bCs/>
          <w:b/>
        </w:rPr>
        <w:t xml:space="preserve">Localized R&amp;D Hub:</w:t>
      </w:r>
      <w:r>
        <w:t xml:space="preserve"> </w:t>
      </w:r>
      <w:r>
        <w:t xml:space="preserve">Establishing a Kyoto Innovation Center by Q1 2024 to co-develop products with local surgeons, focusing on age-specific procedures prevalent in Japan's aging demographic.</w:t>
      </w:r>
    </w:p>
    <w:p>
      <w:pPr>
        <w:numPr>
          <w:ilvl w:val="0"/>
          <w:numId w:val="1003"/>
        </w:numPr>
        <w:pStyle w:val="Compact"/>
      </w:pPr>
      <w:r>
        <w:rPr>
          <w:bCs/>
          <w:b/>
        </w:rPr>
        <w:t xml:space="preserve">Surgical Excellence Network:</w:t>
      </w:r>
      <w:r>
        <w:t xml:space="preserve"> </w:t>
      </w:r>
      <w:r>
        <w:t xml:space="preserve">Creating the "Kyoto Surgeon Circle" – a closed community for top Kyoto surgeons to share technique innovations, reinforcing our brand as a knowledge partner.</w:t>
      </w:r>
    </w:p>
    <w:p>
      <w:pPr>
        <w:numPr>
          <w:ilvl w:val="0"/>
          <w:numId w:val="1003"/>
        </w:numPr>
        <w:pStyle w:val="Compact"/>
      </w:pPr>
      <w:r>
        <w:rPr>
          <w:bCs/>
          <w:b/>
        </w:rPr>
        <w:t xml:space="preserve">Sustainability Commitment:</w:t>
      </w:r>
      <w:r>
        <w:t xml:space="preserve"> </w:t>
      </w:r>
      <w:r>
        <w:t xml:space="preserve">Launching Kyoto’s first carbon-neutral surgical device recycling program in partnership with the City of Kyoto Environmental Office, aligning with Japan’s national ESG goals.</w:t>
      </w:r>
    </w:p>
    <w:bookmarkEnd w:id="26"/>
    <w:bookmarkStart w:id="28" w:name="X39a638e78d821ad7de015ea88a8f117010d15f2"/>
    <w:p>
      <w:pPr>
        <w:pStyle w:val="Heading2"/>
      </w:pPr>
      <w:r>
        <w:t xml:space="preserve">Conclusion: Surgeon as a Kyōto Healthcare Pillar</w:t>
      </w:r>
    </w:p>
    <w:p>
      <w:pPr>
        <w:pStyle w:val="FirstParagraph"/>
      </w:pPr>
      <w:r>
        <w:t xml:space="preserve">The Q3 Sales Report for Surgeon Medical Innovations unequivocally confirms our position as a transformative force within Japan Kyoto's healthcare sector. By prioritizing cultural nuance, surgical precision, and community partnership, we’ve moved beyond being just a vendor to becoming an indispensable ally in Kyoto’s mission to deliver world-class care. The 18.7% revenue growth isn’t merely a number—it represents 345 elderly patients receiving safer surgeries this quarter thanks to Surgeon technology. As Kyoto evolves into Japan’s epicenter for precision healthcare, Surgeon Medical Innovations stands ready to lead with solutions designed for the heart of Japan.</w:t>
      </w:r>
    </w:p>
    <w:bookmarkStart w:id="27" w:name="X92713f429348ecb10a2d6563c6cf438839a8f62"/>
    <w:p>
      <w:pPr>
        <w:pStyle w:val="Heading3"/>
      </w:pPr>
      <w:r>
        <w:t xml:space="preserve">Prepared By: Global Sales Operations, Surgeon Medical Innovations</w:t>
      </w:r>
    </w:p>
    <w:p>
      <w:pPr>
        <w:pStyle w:val="FirstParagraph"/>
      </w:pPr>
      <w:r>
        <w:t xml:space="preserve">Date: October 26, 2023 | Report Validity: Q1–Q3 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Surgeon Medical Innovations - Kyoto Market Performance</dc:title>
  <dc:creator/>
  <cp:keywords/>
  <dcterms:created xsi:type="dcterms:W3CDTF">2026-07-23T10:46:47Z</dcterms:created>
  <dcterms:modified xsi:type="dcterms:W3CDTF">2026-07-23T10:46:47Z</dcterms:modified>
</cp:coreProperties>
</file>

<file path=docProps/custom.xml><?xml version="1.0" encoding="utf-8"?>
<Properties xmlns="http://schemas.openxmlformats.org/officeDocument/2006/custom-properties" xmlns:vt="http://schemas.openxmlformats.org/officeDocument/2006/docPropsVTypes"/>
</file>