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Osaka</w:t>
      </w:r>
      <w:r>
        <w:t xml:space="preserve"> </w:t>
      </w:r>
      <w:r>
        <w:t xml:space="preserve">Market</w:t>
      </w:r>
      <w:r>
        <w:t xml:space="preserve"> </w:t>
      </w:r>
      <w:r>
        <w:t xml:space="preserve">Performance</w:t>
      </w:r>
    </w:p>
    <w:bookmarkStart w:id="27" w:name="X9af1bb64376f6481bf3bf8bea189f9fc4919a8d"/>
    <w:p>
      <w:pPr>
        <w:pStyle w:val="Heading1"/>
      </w:pPr>
      <w:r>
        <w:t xml:space="preserve">SALES REPORT: SURGEON PRODUCT LINE MARKET PERFORMANCE IN JAPAN OSAKA (Q1 2024)</w:t>
      </w:r>
    </w:p>
    <w:bookmarkStart w:id="20" w:name="executive-summary"/>
    <w:p>
      <w:pPr>
        <w:pStyle w:val="Heading2"/>
      </w:pPr>
      <w:r>
        <w:t xml:space="preserve">Executive Summary</w:t>
      </w:r>
    </w:p>
    <w:p>
      <w:pPr>
        <w:pStyle w:val="FirstParagraph"/>
      </w:pPr>
      <w:r>
        <w:t xml:space="preserve">This comprehensive Sales Report details the performance of the innovative "Surgeon" surgical technology suite across the Osaka metropolitan market during Q1 2024. The report confirms significant market penetration and client adoption, solidifying our strategic position in Japan's premier medical hub. With Osaka accounting for 38% of all "Surgeon" product sales in Japan during this period, the region has emerged as a critical growth engine for our global business strategy. This success reflects not only strong demand but also exceptional alignment with Osaka's leading healthcare institutions' technological and operational priorities.</w:t>
      </w:r>
    </w:p>
    <w:bookmarkEnd w:id="20"/>
    <w:bookmarkStart w:id="21" w:name="X6f3e3d28479bcac7f6746bfa3bef1b0c18a83d3"/>
    <w:p>
      <w:pPr>
        <w:pStyle w:val="Heading2"/>
      </w:pPr>
      <w:r>
        <w:t xml:space="preserve">Market Context: Why Osaka? The Strategic Imperative</w:t>
      </w:r>
    </w:p>
    <w:p>
      <w:pPr>
        <w:pStyle w:val="FirstParagraph"/>
      </w:pPr>
      <w:r>
        <w:t xml:space="preserve">Osa</w:t>
      </w:r>
      <w:r>
        <w:t xml:space="preserve">k</w:t>
      </w:r>
      <w:r>
        <w:t xml:space="preserve">a is not merely a major city in Japan; it is the undisputed epicenter of advanced medical innovation and surgical excellence in the Kansai region. Home to world-class institutions like Osaka University Hospital, Nippon Medical School Hospital, and the National Center for Geriatrics and Gerontology (NCGG), Osaka attracts patients seeking cutting-edge procedures. The local government actively invests in healthcare modernization under its "Osaka Healthcare 2030" initiative, prioritizing minimally invasive technologies that reduce hospital stays – a perfect match for our "Surgeon" platform. Unlike Tokyo's more corporate-driven market, Osaka’s medical community values practical, high-precision solutions with seamless integration into established workflows. This cultural and operational alignment has been pivotal in "Surgeon" product acceptance.</w:t>
      </w:r>
    </w:p>
    <w:bookmarkEnd w:id="21"/>
    <w:bookmarkStart w:id="22" w:name="q1-2024-sales-performance-key-metrics"/>
    <w:p>
      <w:pPr>
        <w:pStyle w:val="Heading2"/>
      </w:pPr>
      <w:r>
        <w:t xml:space="preserve">Q1 2024 Sales Performance: Key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 Segment</w:t>
            </w:r>
          </w:p>
        </w:tc>
        <w:tc>
          <w:tcPr/>
          <w:p>
            <w:pPr>
              <w:pStyle w:val="Compact"/>
              <w:jc w:val="left"/>
            </w:pPr>
            <w:r>
              <w:t xml:space="preserve">Units Sold (Osaka)</w:t>
            </w:r>
          </w:p>
        </w:tc>
        <w:tc>
          <w:tcPr/>
          <w:p>
            <w:pPr>
              <w:pStyle w:val="Compact"/>
              <w:jc w:val="left"/>
            </w:pPr>
            <w:r>
              <w:t xml:space="preserve">Revenue (JPY)</w:t>
            </w:r>
          </w:p>
        </w:tc>
        <w:tc>
          <w:tcPr/>
          <w:p>
            <w:pPr>
              <w:pStyle w:val="Compact"/>
              <w:jc w:val="left"/>
            </w:pPr>
            <w:r>
              <w:t xml:space="preserve">% YoY Growth</w:t>
            </w:r>
          </w:p>
        </w:tc>
        <w:tc>
          <w:tcPr/>
          <w:p>
            <w:pPr>
              <w:pStyle w:val="Compact"/>
              <w:jc w:val="left"/>
            </w:pPr>
            <w:r>
              <w:t xml:space="preserve">Key Hospitals Acquired</w:t>
            </w:r>
          </w:p>
        </w:tc>
      </w:tr>
      <w:tr>
        <w:tc>
          <w:tcPr/>
          <w:p>
            <w:pPr>
              <w:pStyle w:val="Compact"/>
              <w:jc w:val="left"/>
            </w:pPr>
            <w:r>
              <w:t xml:space="preserve">Surgeon Precision Platform (Core System)</w:t>
            </w:r>
          </w:p>
        </w:tc>
        <w:tc>
          <w:tcPr/>
          <w:p>
            <w:pPr>
              <w:pStyle w:val="Compact"/>
              <w:jc w:val="left"/>
            </w:pPr>
            <w:r>
              <w:t xml:space="preserve">18</w:t>
            </w:r>
          </w:p>
        </w:tc>
        <w:tc>
          <w:tcPr/>
          <w:p>
            <w:pPr>
              <w:pStyle w:val="Compact"/>
              <w:jc w:val="left"/>
            </w:pPr>
            <w:r>
              <w:t xml:space="preserve">¥1.42B</w:t>
            </w:r>
          </w:p>
        </w:tc>
        <w:tc>
          <w:tcPr/>
          <w:p>
            <w:pPr>
              <w:pStyle w:val="Compact"/>
              <w:jc w:val="left"/>
            </w:pPr>
            <w:r>
              <w:t xml:space="preserve">+35%</w:t>
            </w:r>
          </w:p>
        </w:tc>
        <w:tc>
          <w:tcPr/>
          <w:p>
            <w:pPr>
              <w:pStyle w:val="Compact"/>
              <w:jc w:val="left"/>
            </w:pPr>
            <w:r>
              <w:t xml:space="preserve">Osaka City Medical Center, Kansai University Hospital</w:t>
            </w:r>
          </w:p>
        </w:tc>
      </w:tr>
      <w:tr>
        <w:tc>
          <w:tcPr/>
          <w:p>
            <w:pPr>
              <w:pStyle w:val="Compact"/>
              <w:jc w:val="left"/>
            </w:pPr>
            <w:r>
              <w:t xml:space="preserve">Surgeon AI-Assist Module</w:t>
            </w:r>
          </w:p>
        </w:tc>
        <w:tc>
          <w:tcPr/>
          <w:p>
            <w:pPr>
              <w:pStyle w:val="Compact"/>
              <w:jc w:val="left"/>
            </w:pPr>
            <w:r>
              <w:t xml:space="preserve">32</w:t>
            </w:r>
          </w:p>
        </w:tc>
        <w:tc>
          <w:tcPr/>
          <w:p>
            <w:pPr>
              <w:pStyle w:val="Compact"/>
              <w:jc w:val="left"/>
            </w:pPr>
            <w:r>
              <w:t xml:space="preserve">¥865M (New Add-On)</w:t>
            </w:r>
          </w:p>
        </w:tc>
        <w:tc>
          <w:tcPr/>
          <w:p>
            <w:pPr>
              <w:pStyle w:val="Compact"/>
              <w:jc w:val="left"/>
            </w:pPr>
            <w:r>
              <w:t xml:space="preserve">Kyoto Prefectural University Hospital (Osaka Branch)</w:t>
            </w:r>
          </w:p>
        </w:tc>
        <w:tc>
          <w:tcPr/>
          <w:p>
            <w:pPr>
              <w:pStyle w:val="Compact"/>
            </w:pPr>
          </w:p>
        </w:tc>
      </w:tr>
      <w:tr>
        <w:tc>
          <w:tcPr/>
          <w:p>
            <w:pPr>
              <w:pStyle w:val="Compact"/>
              <w:jc w:val="left"/>
            </w:pPr>
            <w:r>
              <w:t xml:space="preserve">Surgical Navigation Kit</w:t>
            </w:r>
          </w:p>
        </w:tc>
        <w:tc>
          <w:tcPr/>
          <w:p>
            <w:pPr>
              <w:pStyle w:val="Compact"/>
              <w:jc w:val="left"/>
            </w:pPr>
            <w:r>
              <w:t xml:space="preserve">47</w:t>
            </w:r>
          </w:p>
        </w:tc>
        <w:tc>
          <w:tcPr/>
          <w:p>
            <w:pPr>
              <w:pStyle w:val="Compact"/>
              <w:jc w:val="left"/>
            </w:pPr>
            <w:r>
              <w:t xml:space="preserve">¥693M</w:t>
            </w:r>
          </w:p>
        </w:tc>
        <w:tc>
          <w:tcPr/>
          <w:p>
            <w:pPr>
              <w:pStyle w:val="Compact"/>
              <w:jc w:val="left"/>
            </w:pPr>
            <w:r>
              <w:t xml:space="preserve">Osaka General Hospital, Shitennoji University Medical Center</w:t>
            </w:r>
          </w:p>
        </w:tc>
        <w:tc>
          <w:tcPr/>
          <w:p>
            <w:pPr>
              <w:pStyle w:val="Compact"/>
            </w:pPr>
          </w:p>
        </w:tc>
      </w:tr>
      <w:tr>
        <w:tc>
          <w:tcPr/>
          <w:p>
            <w:pPr>
              <w:pStyle w:val="Compact"/>
              <w:jc w:val="left"/>
            </w:pPr>
            <w:r>
              <w:t xml:space="preserve">Total (Q1 2024)</w:t>
            </w:r>
          </w:p>
        </w:tc>
        <w:tc>
          <w:tcPr/>
          <w:p>
            <w:pPr>
              <w:pStyle w:val="Compact"/>
              <w:jc w:val="left"/>
            </w:pPr>
            <w:r>
              <w:t xml:space="preserve">97 Units</w:t>
            </w:r>
          </w:p>
        </w:tc>
        <w:tc>
          <w:tcPr/>
          <w:p>
            <w:pPr>
              <w:pStyle w:val="Compact"/>
              <w:jc w:val="left"/>
            </w:pPr>
            <w:r>
              <w:t xml:space="preserve">¥3.0B (≈$18.5M)</w:t>
            </w:r>
          </w:p>
        </w:tc>
        <w:tc>
          <w:tcPr/>
          <w:p>
            <w:pPr>
              <w:pStyle w:val="Compact"/>
              <w:jc w:val="left"/>
            </w:pPr>
            <w:r>
              <w:t xml:space="preserve">+31% YoY</w:t>
            </w:r>
          </w:p>
        </w:tc>
        <w:tc>
          <w:tcPr/>
          <w:p>
            <w:pPr>
              <w:pStyle w:val="Compact"/>
            </w:pPr>
          </w:p>
        </w:tc>
      </w:tr>
    </w:tbl>
    <w:p>
      <w:pPr>
        <w:pStyle w:val="BodyText"/>
      </w:pPr>
      <w:r>
        <w:t xml:space="preserve">The Q1 performance demonstrates exceptional momentum, with the "Surgeon" product line exceeding Osaka sales targets by 22%. The most significant driver was the successful deployment of the Surgeon AI-Assist Module – a groundbreaking addition specifically engineered for Japan's aging population and high-volume orthopedic practices common in Osaka. Hospitals like Osaka City Medical Center reported a 19% reduction in procedure times after implementing the full "Surgeon" suite, directly contributing to their decision to expand procurement.</w:t>
      </w:r>
    </w:p>
    <w:bookmarkEnd w:id="22"/>
    <w:bookmarkStart w:id="23" w:name="Xe1c189bd1fccbcd58d2215071058f9531939693"/>
    <w:p>
      <w:pPr>
        <w:pStyle w:val="Heading2"/>
      </w:pPr>
      <w:r>
        <w:t xml:space="preserve">Strategic Initiatives Driving Success in Japan Osaka</w:t>
      </w:r>
    </w:p>
    <w:p>
      <w:pPr>
        <w:pStyle w:val="FirstParagraph"/>
      </w:pPr>
      <w:r>
        <w:t xml:space="preserve">Our success in Osaka stems from three tailored strategic pillars:</w:t>
      </w:r>
    </w:p>
    <w:p>
      <w:pPr>
        <w:numPr>
          <w:ilvl w:val="0"/>
          <w:numId w:val="1001"/>
        </w:numPr>
        <w:pStyle w:val="Compact"/>
      </w:pPr>
      <w:r>
        <w:rPr>
          <w:bCs/>
          <w:b/>
        </w:rPr>
        <w:t xml:space="preserve">Cultural Integration &amp; Relationship Building (Omotenashi-Driven):</w:t>
      </w:r>
      <w:r>
        <w:t xml:space="preserve"> </w:t>
      </w:r>
      <w:r>
        <w:t xml:space="preserve">We moved beyond standard sales pitches. Our Osaka team invested 300+ hours in understanding local surgical workflows and hospital hierarchies. Training sessions were conducted in Japanese by certified Osaka-based clinical specialists, emphasizing respect for "wa" (harmony) within medical teams – a practice deeply valued by surgeons here. This built the trust necessary for high-stakes procurement decisions.</w:t>
      </w:r>
    </w:p>
    <w:p>
      <w:pPr>
        <w:numPr>
          <w:ilvl w:val="0"/>
          <w:numId w:val="1001"/>
        </w:numPr>
        <w:pStyle w:val="Compact"/>
      </w:pPr>
      <w:r>
        <w:rPr>
          <w:bCs/>
          <w:b/>
        </w:rPr>
        <w:t xml:space="preserve">Regulatory &amp; Technical Adaptation:</w:t>
      </w:r>
      <w:r>
        <w:t xml:space="preserve"> </w:t>
      </w:r>
      <w:r>
        <w:t xml:space="preserve">The "Surgeon" platform underwent specific Japanese regulatory optimization (PMDA certification pathway) and was adapted to integrate with Osaka hospitals' existing electronic health record (EHR) systems like Fujitsu's "Healthcare Nexus." We addressed Japan's stringent data privacy laws (APPI compliance), a critical factor in securing contracts.</w:t>
      </w:r>
    </w:p>
    <w:p>
      <w:pPr>
        <w:numPr>
          <w:ilvl w:val="0"/>
          <w:numId w:val="1001"/>
        </w:numPr>
        <w:pStyle w:val="Compact"/>
      </w:pPr>
      <w:r>
        <w:rPr>
          <w:bCs/>
          <w:b/>
        </w:rPr>
        <w:t xml:space="preserve">Local Partnerships &amp; Ecosystem Building:</w:t>
      </w:r>
      <w:r>
        <w:t xml:space="preserve"> </w:t>
      </w:r>
      <w:r>
        <w:t xml:space="preserve">Collaborating with key Osaka-based medical technology distributors like Nihon Medical Systems and establishing a dedicated support center within the Osaka Innovation Park ensured rapid on-site technical assistance. This local presence reduced response times from 72 hours to under 4 hours for critical maintenance – a decisive advantage over international competitors.</w:t>
      </w:r>
    </w:p>
    <w:bookmarkEnd w:id="23"/>
    <w:bookmarkStart w:id="24" w:name="Xf1a3ee88b9b59e733ddee2b90df8fdf1921b96f"/>
    <w:p>
      <w:pPr>
        <w:pStyle w:val="Heading2"/>
      </w:pPr>
      <w:r>
        <w:t xml:space="preserve">Challenges &amp; Mitigation in the Osaka Market</w:t>
      </w:r>
    </w:p>
    <w:p>
      <w:pPr>
        <w:pStyle w:val="FirstParagraph"/>
      </w:pPr>
      <w:r>
        <w:t xml:space="preserve">Navigating the Osaka healthcare landscape presented specific hurdles. The initial resistance from some senior surgeons, accustomed to traditional techniques, required a multi-pronged approach. We addressed this by facilitating "Surgeon" technology demonstrations led by respected Osaka-based surgical champions like Dr. Kenji Tanaka (Chief Orthopedic Surgeon, Kansai University Hospital), who publicly endorsed the system after a successful trial. Additionally, securing hospital board approval involved demonstrating clear ROI through reduced operational costs – a language that resonated deeply with Osaka's cost-conscious healthcare administrators facing national budget pressures.</w:t>
      </w:r>
    </w:p>
    <w:bookmarkEnd w:id="24"/>
    <w:bookmarkStart w:id="25" w:name="X0b9b700ec66a5d572c8e6358aefb21f4183ca93"/>
    <w:p>
      <w:pPr>
        <w:pStyle w:val="Heading2"/>
      </w:pPr>
      <w:r>
        <w:t xml:space="preserve">Future Outlook &amp; Strategic Recommendations for Japan Osaka</w:t>
      </w:r>
    </w:p>
    <w:p>
      <w:pPr>
        <w:pStyle w:val="FirstParagraph"/>
      </w:pPr>
      <w:r>
        <w:t xml:space="preserve">The Q1 2024 results position the "Surgeon" product line for sustained dominance in Osaka. Our forecast projects a minimum 45% revenue increase in Osaka during H1 2024, driven by planned expansions at major hospitals like the National Hospital Organization Osaka Medical Center. Strategic recommendations include:</w:t>
      </w:r>
    </w:p>
    <w:p>
      <w:pPr>
        <w:numPr>
          <w:ilvl w:val="0"/>
          <w:numId w:val="1002"/>
        </w:numPr>
        <w:pStyle w:val="Compact"/>
      </w:pPr>
      <w:r>
        <w:t xml:space="preserve">Expanding the AI-Assist Module to include specialized protocols for common Osaka-specific conditions (e.g., advanced arthritis management in elderly populations).</w:t>
      </w:r>
    </w:p>
    <w:p>
      <w:pPr>
        <w:numPr>
          <w:ilvl w:val="0"/>
          <w:numId w:val="1002"/>
        </w:numPr>
        <w:pStyle w:val="Compact"/>
      </w:pPr>
      <w:r>
        <w:t xml:space="preserve">Launching a dedicated "Surgeon Osaka Ambassador" program, training 15 local surgical leaders as peer advocates.</w:t>
      </w:r>
    </w:p>
    <w:p>
      <w:pPr>
        <w:numPr>
          <w:ilvl w:val="0"/>
          <w:numId w:val="1002"/>
        </w:numPr>
        <w:pStyle w:val="Compact"/>
      </w:pPr>
      <w:r>
        <w:t xml:space="preserve">Deepening partnership with the Osaka Prefectural Government's Digital Health Initiative for broader public healthcare system integration.</w:t>
      </w:r>
    </w:p>
    <w:bookmarkEnd w:id="25"/>
    <w:bookmarkStart w:id="26" w:name="X7f6328fb0c86a2427d89f4deb6164005faff6ea"/>
    <w:p>
      <w:pPr>
        <w:pStyle w:val="Heading2"/>
      </w:pPr>
      <w:r>
        <w:t xml:space="preserve">Conclusion: Surgeon as the Trusted Partner in Osaka's Surgical Revolution</w:t>
      </w:r>
    </w:p>
    <w:p>
      <w:pPr>
        <w:pStyle w:val="FirstParagraph"/>
      </w:pPr>
      <w:r>
        <w:t xml:space="preserve">This Q1 Sales Report unequivocally confirms that "Surgeon" has transcended being just a product line; it is now an indispensable partner in advancing surgical excellence across Japan’s Osaka healthcare ecosystem. The city's unique blend of medical tradition, technological ambition, and rigorous clinical standards provided the perfect environment for our solution to flourish. Our ability to deeply engage with Osaka's medical community through cultural respect, technical precision, and unwavering local support has created a powerful foundation for long-term growth. As Osaka continues its transformation into Asia’s premier surgical innovation hub, the "Surgeon" product line stands ready as the technology of choice for surgeons committed to unparalleled patient outcomes. We anticipate Osaka will remain our most significant market in Japan for the foreseeable future, consistently setting benchmarks for regional performance.</w:t>
      </w:r>
    </w:p>
    <w:p>
      <w:pPr>
        <w:pStyle w:val="BodyText"/>
      </w:pPr>
      <w:r>
        <w:rPr>
          <w:bCs/>
          <w:b/>
        </w:rPr>
        <w:t xml:space="preserve">Prepared For:</w:t>
      </w:r>
      <w:r>
        <w:t xml:space="preserve"> </w:t>
      </w:r>
      <w:r>
        <w:t xml:space="preserve">Global Sales Leadership, Asia-Pacific Division</w:t>
      </w:r>
      <w:r>
        <w:br/>
      </w:r>
      <w:r>
        <w:rPr>
          <w:bCs/>
          <w:b/>
        </w:rPr>
        <w:t xml:space="preserve">Date:</w:t>
      </w:r>
      <w:r>
        <w:t xml:space="preserve"> </w:t>
      </w:r>
      <w:r>
        <w:t xml:space="preserve">April 15, 2024</w:t>
      </w:r>
      <w:r>
        <w:br/>
      </w:r>
      <w:r>
        <w:rPr>
          <w:bCs/>
          <w:b/>
        </w:rPr>
        <w:t xml:space="preserve">Report Prepared By:</w:t>
      </w:r>
      <w:r>
        <w:t xml:space="preserve"> </w:t>
      </w:r>
      <w:r>
        <w:t xml:space="preserve">Osaka Market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Osaka Market Performance</dc:title>
  <dc:creator/>
  <dc:language>en</dc:language>
  <cp:keywords/>
  <dcterms:created xsi:type="dcterms:W3CDTF">2026-07-23T03:41:47Z</dcterms:created>
  <dcterms:modified xsi:type="dcterms:W3CDTF">2026-07-23T03:41:47Z</dcterms:modified>
</cp:coreProperties>
</file>

<file path=docProps/custom.xml><?xml version="1.0" encoding="utf-8"?>
<Properties xmlns="http://schemas.openxmlformats.org/officeDocument/2006/custom-properties" xmlns:vt="http://schemas.openxmlformats.org/officeDocument/2006/docPropsVTypes"/>
</file>