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Kuwait</w:t>
      </w:r>
      <w:r>
        <w:t xml:space="preserve"> </w:t>
      </w:r>
      <w:r>
        <w:t xml:space="preserve">City</w:t>
      </w:r>
      <w:r>
        <w:t xml:space="preserve"> </w:t>
      </w:r>
      <w:r>
        <w:t xml:space="preserve">Surgeon-Focused</w:t>
      </w:r>
      <w:r>
        <w:t xml:space="preserve"> </w:t>
      </w:r>
      <w:r>
        <w:t xml:space="preserve">Sales</w:t>
      </w:r>
      <w:r>
        <w:t xml:space="preserve"> </w:t>
      </w:r>
      <w:r>
        <w:t xml:space="preserve">Report</w:t>
      </w:r>
      <w:r>
        <w:t xml:space="preserve"> </w:t>
      </w:r>
      <w:r>
        <w:t xml:space="preserve">2023</w:t>
      </w:r>
    </w:p>
    <w:bookmarkStart w:id="27" w:name="X21df3d34db092b2b0adc0914d44409f480d7f25"/>
    <w:p>
      <w:pPr>
        <w:pStyle w:val="Heading1"/>
      </w:pPr>
      <w:r>
        <w:t xml:space="preserve">Kuwait City Surgical Solutions Sales Report: Q3 2023 Performance &amp; Strategic Outlook</w:t>
      </w:r>
    </w:p>
    <w:p>
      <w:pPr>
        <w:pStyle w:val="FirstParagraph"/>
      </w:pPr>
      <w:r>
        <w:t xml:space="preserve">Prepared for Executive Leadership | Date: October 26, 2023 | Prepared by Medical Devices Division</w:t>
      </w:r>
    </w:p>
    <w:bookmarkStart w:id="20" w:name="executive-summary"/>
    <w:p>
      <w:pPr>
        <w:pStyle w:val="Heading2"/>
      </w:pPr>
      <w:r>
        <w:t xml:space="preserve">Executive Summary</w:t>
      </w:r>
    </w:p>
    <w:p>
      <w:pPr>
        <w:pStyle w:val="FirstParagraph"/>
      </w:pPr>
      <w:r>
        <w:t xml:space="preserve">This comprehensive Sales Report details the performance of surgical equipment and solutions targeting surgeons across Kuwait City during Q3 2023. The report confirms significant growth in adoption of advanced surgical tools by medical professionals within Kuwait City's healthcare ecosystem, with a 18.7% year-over-year increase in sales volume specifically focused on</w:t>
      </w:r>
      <w:r>
        <w:t xml:space="preserve"> </w:t>
      </w:r>
      <w:r>
        <w:rPr>
          <w:bCs/>
          <w:b/>
        </w:rPr>
        <w:t xml:space="preserve">Surgeon</w:t>
      </w:r>
      <w:r>
        <w:t xml:space="preserve">-end user segments. The strategic emphasis on building deep relationships with leading surgeons at premier hospitals throughout</w:t>
      </w:r>
      <w:r>
        <w:t xml:space="preserve"> </w:t>
      </w:r>
      <w:r>
        <w:rPr>
          <w:bCs/>
          <w:b/>
        </w:rPr>
        <w:t xml:space="preserve">Kuwait Kuwait City</w:t>
      </w:r>
      <w:r>
        <w:t xml:space="preserve"> </w:t>
      </w:r>
      <w:r>
        <w:t xml:space="preserve">has positioned our portfolio as the preferred choice for minimally invasive procedures and orthopedic innovations.</w:t>
      </w:r>
    </w:p>
    <w:bookmarkEnd w:id="20"/>
    <w:bookmarkStart w:id="21" w:name="Xbb3fa6fd327fe90fb0e9ba838d040fd9a328c7b"/>
    <w:p>
      <w:pPr>
        <w:pStyle w:val="Heading2"/>
      </w:pPr>
      <w:r>
        <w:t xml:space="preserve">Market Context: Surgeon Demand in Kuwait City</w:t>
      </w:r>
    </w:p>
    <w:p>
      <w:pPr>
        <w:pStyle w:val="FirstParagraph"/>
      </w:pPr>
      <w:r>
        <w:t xml:space="preserve">Kuwait City remains the undisputed healthcare hub of Kuwait, housing over 70% of the nation's specialized surgical facilities including Al-Amiri Hospital, Mubarak Al-Kabir Hospital, and the newly expanded National Center for Cardiovascular Diseases. The Ministry of Health's recent initiative to modernize surgical infrastructure has created unprecedented demand among surgeons for next-generation equipment. This</w:t>
      </w:r>
      <w:r>
        <w:t xml:space="preserve"> </w:t>
      </w:r>
      <w:r>
        <w:rPr>
          <w:bCs/>
          <w:b/>
        </w:rPr>
        <w:t xml:space="preserve">Surgeon</w:t>
      </w:r>
      <w:r>
        <w:t xml:space="preserve">-centric market shift is directly driving our sales strategy in</w:t>
      </w:r>
      <w:r>
        <w:t xml:space="preserve"> </w:t>
      </w:r>
      <w:r>
        <w:rPr>
          <w:bCs/>
          <w:b/>
        </w:rPr>
        <w:t xml:space="preserve">Kuwait Kuwait City</w:t>
      </w:r>
      <w:r>
        <w:t xml:space="preserve">, where we've observed a 32% increase in consultation requests from surgical teams seeking advanced instrumentation.</w:t>
      </w:r>
    </w:p>
    <w:p>
      <w:pPr>
        <w:pStyle w:val="BodyText"/>
      </w:pPr>
      <w:r>
        <w:t xml:space="preserve">Key growth drivers include:</w:t>
      </w:r>
    </w:p>
    <w:p>
      <w:pPr>
        <w:numPr>
          <w:ilvl w:val="0"/>
          <w:numId w:val="1001"/>
        </w:numPr>
        <w:pStyle w:val="Compact"/>
      </w:pPr>
      <w:r>
        <w:t xml:space="preserve">Government funding for robotic-assisted surgery units (6 new installations planned in Kuwait City by Q1 2024)</w:t>
      </w:r>
    </w:p>
    <w:p>
      <w:pPr>
        <w:numPr>
          <w:ilvl w:val="0"/>
          <w:numId w:val="1001"/>
        </w:numPr>
        <w:pStyle w:val="Compact"/>
      </w:pPr>
      <w:r>
        <w:t xml:space="preserve">Rising patient volumes requiring complex procedures (38% increase in laparoscopic surgeries at Kuwait City hospitals since 2021)</w:t>
      </w:r>
    </w:p>
    <w:p>
      <w:pPr>
        <w:numPr>
          <w:ilvl w:val="0"/>
          <w:numId w:val="1001"/>
        </w:numPr>
        <w:pStyle w:val="Compact"/>
      </w:pPr>
      <w:r>
        <w:t xml:space="preserve">Surgeon preference for equipment with integrated data analytics for procedure optimization</w:t>
      </w:r>
    </w:p>
    <w:bookmarkEnd w:id="21"/>
    <w:bookmarkStart w:id="22" w:name="Xa50d5534dd0128cccac6295f093268786d7a653"/>
    <w:p>
      <w:pPr>
        <w:pStyle w:val="Heading2"/>
      </w:pPr>
      <w:r>
        <w:t xml:space="preserve">Sales Performance Highlights: Surgeon-Focused Products</w:t>
      </w:r>
    </w:p>
    <w:p>
      <w:pPr>
        <w:pStyle w:val="FirstParagraph"/>
      </w:pPr>
      <w:r>
        <w:t xml:space="preserve">The Sales Report reveals exceptional performance in our core surgical portfolio, specifically designed to address surgeon workflow challenges in Kuwait City. Below is a breakdown of key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Q3 2023 Sales (KD)</w:t>
            </w:r>
          </w:p>
        </w:tc>
        <w:tc>
          <w:tcPr/>
          <w:p>
            <w:pPr>
              <w:pStyle w:val="Compact"/>
              <w:jc w:val="left"/>
            </w:pPr>
            <w:r>
              <w:t xml:space="preserve">YoY Growth</w:t>
            </w:r>
          </w:p>
        </w:tc>
        <w:tc>
          <w:tcPr/>
          <w:p>
            <w:pPr>
              <w:pStyle w:val="Compact"/>
              <w:jc w:val="left"/>
            </w:pPr>
            <w:r>
              <w:t xml:space="preserve">Key Surgeon Adoption Rate</w:t>
            </w:r>
          </w:p>
        </w:tc>
      </w:tr>
      <w:tr>
        <w:tc>
          <w:tcPr/>
          <w:p>
            <w:pPr>
              <w:pStyle w:val="Compact"/>
              <w:jc w:val="left"/>
            </w:pPr>
            <w:r>
              <w:t xml:space="preserve">Robotic-Assisted Surgical Kits</w:t>
            </w:r>
          </w:p>
        </w:tc>
        <w:tc>
          <w:tcPr/>
          <w:p>
            <w:pPr>
              <w:pStyle w:val="Compact"/>
              <w:jc w:val="left"/>
            </w:pPr>
            <w:r>
              <w:t xml:space="preserve">1,245,000</w:t>
            </w:r>
          </w:p>
        </w:tc>
        <w:tc>
          <w:tcPr/>
          <w:p>
            <w:pPr>
              <w:pStyle w:val="Compact"/>
              <w:jc w:val="left"/>
            </w:pPr>
            <w:r>
              <w:t xml:space="preserve">+27.3%</w:t>
            </w:r>
          </w:p>
        </w:tc>
        <w:tc>
          <w:tcPr/>
          <w:p>
            <w:pPr>
              <w:pStyle w:val="Compact"/>
              <w:jc w:val="left"/>
            </w:pPr>
            <w:r>
              <w:t xml:space="preserve">68% of major Kuwait City hospitals</w:t>
            </w:r>
          </w:p>
        </w:tc>
      </w:tr>
      <w:tr>
        <w:tc>
          <w:tcPr/>
          <w:p>
            <w:pPr>
              <w:pStyle w:val="Compact"/>
              <w:jc w:val="left"/>
            </w:pPr>
            <w:r>
              <w:t xml:space="preserve">Magnified Endoscopic Systems</w:t>
            </w:r>
          </w:p>
        </w:tc>
        <w:tc>
          <w:tcPr/>
          <w:p>
            <w:pPr>
              <w:pStyle w:val="Compact"/>
              <w:jc w:val="left"/>
            </w:pPr>
            <w:r>
              <w:t xml:space="preserve">782,500</w:t>
            </w:r>
          </w:p>
        </w:tc>
        <w:tc>
          <w:tcPr/>
          <w:p>
            <w:pPr>
              <w:pStyle w:val="Compact"/>
              <w:jc w:val="left"/>
            </w:pPr>
            <w:r>
              <w:t xml:space="preserve">+21.1%</w:t>
            </w:r>
          </w:p>
        </w:tc>
        <w:tc>
          <w:tcPr/>
          <w:p>
            <w:pPr>
              <w:pStyle w:val="Compact"/>
              <w:jc w:val="left"/>
            </w:pPr>
            <w:r>
              <w:t xml:space="preserve">54% (up from 39% in Q3 2022)</w:t>
            </w:r>
          </w:p>
        </w:tc>
      </w:tr>
      <w:tr>
        <w:tc>
          <w:tcPr/>
          <w:p>
            <w:pPr>
              <w:pStyle w:val="Compact"/>
              <w:jc w:val="left"/>
            </w:pPr>
            <w:r>
              <w:t xml:space="preserve">Surgical Navigation Platforms</w:t>
            </w:r>
          </w:p>
        </w:tc>
        <w:tc>
          <w:tcPr/>
          <w:p>
            <w:pPr>
              <w:pStyle w:val="Compact"/>
              <w:jc w:val="left"/>
            </w:pPr>
            <w:r>
              <w:t xml:space="preserve">617,300</w:t>
            </w:r>
          </w:p>
        </w:tc>
        <w:tc>
          <w:tcPr/>
          <w:p>
            <w:pPr>
              <w:pStyle w:val="Compact"/>
              <w:jc w:val="left"/>
            </w:pPr>
            <w:r>
              <w:t xml:space="preserve">+41.5%</w:t>
            </w:r>
          </w:p>
        </w:tc>
        <w:tc>
          <w:tcPr/>
          <w:p>
            <w:pPr>
              <w:pStyle w:val="Compact"/>
              <w:jc w:val="left"/>
            </w:pPr>
            <w:r>
              <w:t xml:space="preserve">47% of orthopedic surgeons in Kuwait City</w:t>
            </w:r>
          </w:p>
        </w:tc>
      </w:tr>
    </w:tbl>
    <w:p>
      <w:pPr>
        <w:pStyle w:val="BodyText"/>
      </w:pPr>
      <w:r>
        <w:t xml:space="preserve">Notably, our flagship product line "PrecisionSight™" saw a 53% adoption rate among cardiothoracic surgeons at Kuwait City's leading institutions. This directly correlates with the successful implementation of surgeon training workshops held across Kuwait City in September, attended by 147 certified</w:t>
      </w:r>
      <w:r>
        <w:t xml:space="preserve"> </w:t>
      </w:r>
      <w:r>
        <w:rPr>
          <w:bCs/>
          <w:b/>
        </w:rPr>
        <w:t xml:space="preserve">Surgeon</w:t>
      </w:r>
      <w:r>
        <w:t xml:space="preserve">s from major healthcare facilities.</w:t>
      </w:r>
    </w:p>
    <w:bookmarkEnd w:id="22"/>
    <w:bookmarkStart w:id="23" w:name="Xa961c472136b6e10f8f6e66a96f547ec9a35124"/>
    <w:p>
      <w:pPr>
        <w:pStyle w:val="Heading2"/>
      </w:pPr>
      <w:r>
        <w:t xml:space="preserve">Kuwait City-Specific Strategic Initiatives</w:t>
      </w:r>
    </w:p>
    <w:p>
      <w:pPr>
        <w:pStyle w:val="FirstParagraph"/>
      </w:pPr>
      <w:r>
        <w:t xml:space="preserve">This Sales Report underscores our location-specific approach to serving the Kuwait City market. Key initiatives driving success include:</w:t>
      </w:r>
    </w:p>
    <w:p>
      <w:pPr>
        <w:numPr>
          <w:ilvl w:val="0"/>
          <w:numId w:val="1002"/>
        </w:numPr>
        <w:pStyle w:val="Compact"/>
      </w:pPr>
      <w:r>
        <w:rPr>
          <w:bCs/>
          <w:b/>
        </w:rPr>
        <w:t xml:space="preserve">Surgeon Advisory Council:</w:t>
      </w:r>
      <w:r>
        <w:t xml:space="preserve"> </w:t>
      </w:r>
      <w:r>
        <w:t xml:space="preserve">Established a formal council of 15 leading Kuwait City surgeons (including Dr. Fahad Al-Sayer at Mubarak Al-Kabir Hospital) who provide direct feedback on product development, significantly influencing our Q4 roadmap.</w:t>
      </w:r>
    </w:p>
    <w:p>
      <w:pPr>
        <w:numPr>
          <w:ilvl w:val="0"/>
          <w:numId w:val="1002"/>
        </w:numPr>
        <w:pStyle w:val="Compact"/>
      </w:pPr>
      <w:r>
        <w:rPr>
          <w:bCs/>
          <w:b/>
        </w:rPr>
        <w:t xml:space="preserve">Localized Technical Support:</w:t>
      </w:r>
      <w:r>
        <w:t xml:space="preserve"> </w:t>
      </w:r>
      <w:r>
        <w:t xml:space="preserve">Deployed 3 dedicated field engineers in Kuwait City with Arabic-English proficiency to provide immediate surgeon assistance during procedures.</w:t>
      </w:r>
    </w:p>
    <w:p>
      <w:pPr>
        <w:numPr>
          <w:ilvl w:val="0"/>
          <w:numId w:val="1002"/>
        </w:numPr>
        <w:pStyle w:val="Compact"/>
      </w:pPr>
      <w:r>
        <w:rPr>
          <w:bCs/>
          <w:b/>
        </w:rPr>
        <w:t xml:space="preserve">Clinical Partnership Program:</w:t>
      </w:r>
      <w:r>
        <w:t xml:space="preserve"> </w:t>
      </w:r>
      <w:r>
        <w:t xml:space="preserve">Co-developed 4 new surgical protocols with Kuwait City hospitals, resulting in a 22% reduction in procedure times for participating surgeons.</w:t>
      </w:r>
    </w:p>
    <w:bookmarkEnd w:id="23"/>
    <w:bookmarkStart w:id="24" w:name="challenges-mitigation-strategies"/>
    <w:p>
      <w:pPr>
        <w:pStyle w:val="Heading2"/>
      </w:pPr>
      <w:r>
        <w:t xml:space="preserve">Challenges &amp; Mitigation Strategies</w:t>
      </w:r>
    </w:p>
    <w:p>
      <w:pPr>
        <w:pStyle w:val="FirstParagraph"/>
      </w:pPr>
      <w:r>
        <w:t xml:space="preserve">While growth is robust, the Sales Report identifies two critical challenges specific to the Kuwait City market:</w:t>
      </w:r>
    </w:p>
    <w:p>
      <w:pPr>
        <w:pStyle w:val="BodyText"/>
      </w:pPr>
      <w:r>
        <w:rPr>
          <w:bCs/>
          <w:b/>
        </w:rPr>
        <w:t xml:space="preserve">Challenge 1: Import Regulation Complexity</w:t>
      </w:r>
      <w:r>
        <w:br/>
      </w:r>
      <w:r>
        <w:t xml:space="preserve">The Ministry of Commerce's updated medical device classification standards caused temporary delays in product certification for two surgical instrument lines.</w:t>
      </w:r>
      <w:r>
        <w:t xml:space="preserve"> </w:t>
      </w:r>
      <w:r>
        <w:rPr>
          <w:iCs/>
          <w:i/>
        </w:rPr>
        <w:t xml:space="preserve">Mitigation:</w:t>
      </w:r>
      <w:r>
        <w:t xml:space="preserve"> </w:t>
      </w:r>
      <w:r>
        <w:t xml:space="preserve">We established direct liaison with Kuwait City's Directorate General of Medical Affairs, reducing certification timelines by 40% and ensuring all products now comply with local standards.</w:t>
      </w:r>
    </w:p>
    <w:p>
      <w:pPr>
        <w:pStyle w:val="BodyText"/>
      </w:pPr>
      <w:r>
        <w:rPr>
          <w:bCs/>
          <w:b/>
        </w:rPr>
        <w:t xml:space="preserve">Challenge 2: Surgeon Training Time Constraints</w:t>
      </w:r>
      <w:r>
        <w:br/>
      </w:r>
      <w:r>
        <w:t xml:space="preserve">High surgical caseloads limited surgeon participation in training sessions.</w:t>
      </w:r>
      <w:r>
        <w:t xml:space="preserve"> </w:t>
      </w:r>
      <w:r>
        <w:rPr>
          <w:iCs/>
          <w:i/>
        </w:rPr>
        <w:t xml:space="preserve">Mitigation:</w:t>
      </w:r>
      <w:r>
        <w:t xml:space="preserve"> </w:t>
      </w:r>
      <w:r>
        <w:t xml:space="preserve">Launched "Surgeon-First" virtual training modules accessible during non-operational hours, increasing workshop attendance by 76% in Q3.</w:t>
      </w:r>
    </w:p>
    <w:bookmarkEnd w:id="24"/>
    <w:bookmarkStart w:id="25" w:name="strategic-outlook-for-kuwait-city"/>
    <w:p>
      <w:pPr>
        <w:pStyle w:val="Heading2"/>
      </w:pPr>
      <w:r>
        <w:t xml:space="preserve">Strategic Outlook for Kuwait City</w:t>
      </w:r>
    </w:p>
    <w:p>
      <w:pPr>
        <w:pStyle w:val="FirstParagraph"/>
      </w:pPr>
      <w:r>
        <w:t xml:space="preserve">This Sales Report projects sustained growth in the</w:t>
      </w:r>
      <w:r>
        <w:t xml:space="preserve"> </w:t>
      </w:r>
      <w:r>
        <w:rPr>
          <w:bCs/>
          <w:b/>
        </w:rPr>
        <w:t xml:space="preserve">Surgeon</w:t>
      </w:r>
      <w:r>
        <w:t xml:space="preserve"> </w:t>
      </w:r>
      <w:r>
        <w:t xml:space="preserve">market within</w:t>
      </w:r>
      <w:r>
        <w:t xml:space="preserve"> </w:t>
      </w:r>
      <w:r>
        <w:rPr>
          <w:bCs/>
          <w:b/>
        </w:rPr>
        <w:t xml:space="preserve">Kuwait Kuwait City</w:t>
      </w:r>
      <w:r>
        <w:t xml:space="preserve">. With the government's $1.8 billion healthcare modernization plan now active, we anticipate:</w:t>
      </w:r>
    </w:p>
    <w:p>
      <w:pPr>
        <w:numPr>
          <w:ilvl w:val="0"/>
          <w:numId w:val="1003"/>
        </w:numPr>
        <w:pStyle w:val="Compact"/>
      </w:pPr>
      <w:r>
        <w:t xml:space="preserve">A 35% increase in demand for integrated surgical solutions by Q1 2024</w:t>
      </w:r>
    </w:p>
    <w:p>
      <w:pPr>
        <w:numPr>
          <w:ilvl w:val="0"/>
          <w:numId w:val="1003"/>
        </w:numPr>
        <w:pStyle w:val="Compact"/>
      </w:pPr>
      <w:r>
        <w:t xml:space="preserve">Expansion into new hospital networks in Kuwait City's emerging western districts</w:t>
      </w:r>
    </w:p>
    <w:p>
      <w:pPr>
        <w:numPr>
          <w:ilvl w:val="0"/>
          <w:numId w:val="1003"/>
        </w:numPr>
        <w:pStyle w:val="Compact"/>
      </w:pPr>
      <w:r>
        <w:t xml:space="preserve">Development of a dedicated Kuwait City surgical innovation lab by Q3 2024, co-designed with local surgeons</w:t>
      </w:r>
    </w:p>
    <w:p>
      <w:pPr>
        <w:pStyle w:val="FirstParagraph"/>
      </w:pPr>
      <w:r>
        <w:t xml:space="preserve">The data clearly demonstrates that our surgeon-centric approach is resonating powerfully in the heart of Kuwait's healthcare landscape. As one prominent Kuwait City surgeon stated during our advisory council session: "The equipment you provide doesn't just make procedures easier – it fundamentally changes how we deliver care." This sentiment validates our strategic investment in building authentic partnerships with</w:t>
      </w:r>
      <w:r>
        <w:t xml:space="preserve"> </w:t>
      </w:r>
      <w:r>
        <w:rPr>
          <w:bCs/>
          <w:b/>
        </w:rPr>
        <w:t xml:space="preserve">Surgeon</w:t>
      </w:r>
      <w:r>
        <w:t xml:space="preserve">s across</w:t>
      </w:r>
      <w:r>
        <w:t xml:space="preserve"> </w:t>
      </w:r>
      <w:r>
        <w:rPr>
          <w:bCs/>
          <w:b/>
        </w:rPr>
        <w:t xml:space="preserve">Kuwait City</w:t>
      </w:r>
      <w:r>
        <w:t xml:space="preserve">.</w:t>
      </w:r>
    </w:p>
    <w:bookmarkEnd w:id="25"/>
    <w:bookmarkStart w:id="26" w:name="Xecd7c86487b5e782c0914ec6deab6e8a58ef0f9"/>
    <w:p>
      <w:pPr>
        <w:pStyle w:val="Heading2"/>
      </w:pPr>
      <w:r>
        <w:t xml:space="preserve">Conclusion: Surgeon Partnership as Core Growth Engine</w:t>
      </w:r>
    </w:p>
    <w:p>
      <w:pPr>
        <w:pStyle w:val="FirstParagraph"/>
      </w:pPr>
      <w:r>
        <w:t xml:space="preserve">The Q3 2023 Sales Report for Kuwait City affirms that success in this market hinges on understanding the surgeon's perspective – not just as customers, but as clinical partners. Our focus on delivering solutions that enhance surgical precision, efficiency, and patient outcomes has directly translated into market leadership in Kuwait City's competitive healthcare environment. By maintaining this surgeon-first philosophy while expanding our presence across all major hospitals in</w:t>
      </w:r>
      <w:r>
        <w:t xml:space="preserve"> </w:t>
      </w:r>
      <w:r>
        <w:rPr>
          <w:bCs/>
          <w:b/>
        </w:rPr>
        <w:t xml:space="preserve">Kuwait Kuwait City</w:t>
      </w:r>
      <w:r>
        <w:t xml:space="preserve">, we are positioned for sustained revenue growth exceeding 30% annually through 2025.</w:t>
      </w:r>
    </w:p>
    <w:p>
      <w:pPr>
        <w:pStyle w:val="BodyText"/>
      </w:pPr>
      <w:r>
        <w:t xml:space="preserve">"In the evolving landscape of surgical care, we don't sell equipment – we enable excellence. This report proves our surgeons in Kuwait City are leading the way." - Regional Sales Director, Gulf Medical Solutions</w:t>
      </w:r>
    </w:p>
    <w:p>
      <w:pPr>
        <w:pStyle w:val="BodyText"/>
      </w:pPr>
      <w:r>
        <w:t xml:space="preserve">This document is a confidential sales performance analysis for internal Kuwait City medical device operations. Distribution restricted to authorized personnel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Kuwait City Surgeon-Focused Sales Report 2023</dc:title>
  <dc:creator/>
  <dc:language>en</dc:language>
  <cp:keywords/>
  <dcterms:created xsi:type="dcterms:W3CDTF">2026-06-02T18:04:21Z</dcterms:created>
  <dcterms:modified xsi:type="dcterms:W3CDTF">2026-06-02T18:04:21Z</dcterms:modified>
</cp:coreProperties>
</file>

<file path=docProps/custom.xml><?xml version="1.0" encoding="utf-8"?>
<Properties xmlns="http://schemas.openxmlformats.org/officeDocument/2006/custom-properties" xmlns:vt="http://schemas.openxmlformats.org/officeDocument/2006/docPropsVTypes"/>
</file>