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Report:</w:t>
      </w:r>
      <w:r>
        <w:t xml:space="preserve"> </w:t>
      </w:r>
      <w:r>
        <w:t xml:space="preserve">Surgeon</w:t>
      </w:r>
      <w:r>
        <w:t xml:space="preserve"> </w:t>
      </w:r>
      <w:r>
        <w:t xml:space="preserve">Equipment</w:t>
      </w:r>
      <w:r>
        <w:t xml:space="preserve"> </w:t>
      </w:r>
      <w:r>
        <w:t xml:space="preserve">&amp;</w:t>
      </w:r>
      <w:r>
        <w:t xml:space="preserve"> </w:t>
      </w:r>
      <w:r>
        <w:t xml:space="preserve">Services</w:t>
      </w:r>
      <w:r>
        <w:t xml:space="preserve"> </w:t>
      </w:r>
      <w:r>
        <w:t xml:space="preserve">-</w:t>
      </w:r>
      <w:r>
        <w:t xml:space="preserve"> </w:t>
      </w:r>
      <w:r>
        <w:t xml:space="preserve">Malaysia</w:t>
      </w:r>
      <w:r>
        <w:t xml:space="preserve"> </w:t>
      </w:r>
      <w:r>
        <w:t xml:space="preserve">Kuala</w:t>
      </w:r>
      <w:r>
        <w:t xml:space="preserve"> </w:t>
      </w:r>
      <w:r>
        <w:t xml:space="preserve">Lumpur</w:t>
      </w:r>
    </w:p>
    <w:bookmarkStart w:id="27" w:name="X2a346ed8d78e8351fe69f0b64e6371309eb5b9f"/>
    <w:p>
      <w:pPr>
        <w:pStyle w:val="Heading1"/>
      </w:pPr>
      <w:r>
        <w:t xml:space="preserve">SALES REPORT FOR SURGICAL INNOVATION SOLUTIONS</w:t>
      </w:r>
      <w:r>
        <w:br/>
      </w:r>
      <w:r>
        <w:t xml:space="preserve">Q3 2024 PERFORMANCE IN MALAYSIA KUALA LUMPUR</w:t>
      </w:r>
    </w:p>
    <w:p>
      <w:pPr>
        <w:pStyle w:val="FirstParagraph"/>
      </w:pPr>
      <w:r>
        <w:t xml:space="preserve">Prepared for Executive Leadership | Date: October 26, 2024</w:t>
      </w:r>
    </w:p>
    <w:bookmarkStart w:id="20" w:name="executive-summary"/>
    <w:p>
      <w:pPr>
        <w:pStyle w:val="Heading2"/>
      </w:pPr>
      <w:r>
        <w:t xml:space="preserve">Executive Summary</w:t>
      </w:r>
    </w:p>
    <w:p>
      <w:pPr>
        <w:pStyle w:val="FirstParagraph"/>
      </w:pPr>
      <w:r>
        <w:t xml:space="preserve">This comprehensive</w:t>
      </w:r>
      <w:r>
        <w:t xml:space="preserve"> </w:t>
      </w:r>
      <w:r>
        <w:rPr>
          <w:bCs/>
          <w:b/>
        </w:rPr>
        <w:t xml:space="preserve">Sales Report</w:t>
      </w:r>
      <w:r>
        <w:t xml:space="preserve"> </w:t>
      </w:r>
      <w:r>
        <w:t xml:space="preserve">details the performance of our surgical technology and equipment division across Malaysia, with particular emphasis on Kuala Lumpur's dynamic healthcare ecosystem. As the commercial hub for medical innovation in Southeast Asia, Kuala Lumpur represents 68% of our total sales in Malaysia. The quarter witnessed a 22% year-over-year increase in</w:t>
      </w:r>
      <w:r>
        <w:t xml:space="preserve"> </w:t>
      </w:r>
      <w:r>
        <w:rPr>
          <w:iCs/>
          <w:i/>
        </w:rPr>
        <w:t xml:space="preserve">surgeon</w:t>
      </w:r>
      <w:r>
        <w:t xml:space="preserve"> </w:t>
      </w:r>
      <w:r>
        <w:t xml:space="preserve">adoption of our AI-assisted laparoscopic systems, driven by strategic partnerships with leading hospitals and a focused</w:t>
      </w:r>
      <w:r>
        <w:t xml:space="preserve"> </w:t>
      </w:r>
      <w:r>
        <w:rPr>
          <w:bCs/>
          <w:b/>
        </w:rPr>
        <w:t xml:space="preserve">Malaysia Kuala Lumpur</w:t>
      </w:r>
      <w:r>
        <w:t xml:space="preserve">-centric sales approach. This report confirms that our targeted engagement with surgeons in the KL metropolitan area is delivering exceptional ROI.</w:t>
      </w:r>
    </w:p>
    <w:bookmarkEnd w:id="20"/>
    <w:bookmarkStart w:id="21" w:name="sales-performance-highlights-q3-2024"/>
    <w:p>
      <w:pPr>
        <w:pStyle w:val="Heading2"/>
      </w:pPr>
      <w:r>
        <w:t xml:space="preserve">Sales Performance Highlights (Q3 2024)</w:t>
      </w:r>
    </w:p>
    <w:tbl>
      <w:tblPr>
        <w:tblStyle w:val="Table"/>
        <w:tblW w:type="auto" w:w="0"/>
        <w:tblLook w:firstRow="1" w:lastRow="0" w:firstColumn="0" w:lastColumn="0" w:noHBand="0" w:noVBand="0" w:val="0020"/>
      </w:tblPr>
      <w:tblGrid>
        <w:gridCol w:w="1980"/>
        <w:gridCol w:w="1980"/>
        <w:gridCol w:w="1980"/>
        <w:gridCol w:w="1980"/>
      </w:tblGrid>
      <w:tr>
        <w:trPr>
          <w:tblHeader w:val="true"/>
        </w:trPr>
        <w:tc>
          <w:tcPr/>
          <w:p>
            <w:pPr>
              <w:pStyle w:val="Compact"/>
              <w:jc w:val="left"/>
            </w:pPr>
            <w:r>
              <w:t xml:space="preserve">Key Metric</w:t>
            </w:r>
          </w:p>
        </w:tc>
        <w:tc>
          <w:tcPr/>
          <w:p>
            <w:pPr>
              <w:pStyle w:val="Compact"/>
              <w:jc w:val="left"/>
            </w:pPr>
            <w:r>
              <w:t xml:space="preserve">Q3 2024</w:t>
            </w:r>
          </w:p>
        </w:tc>
        <w:tc>
          <w:tcPr/>
          <w:p>
            <w:pPr>
              <w:pStyle w:val="Compact"/>
              <w:jc w:val="left"/>
            </w:pPr>
            <w:r>
              <w:t xml:space="preserve">Q3 2023</w:t>
            </w:r>
          </w:p>
        </w:tc>
        <w:tc>
          <w:tcPr/>
          <w:p>
            <w:pPr>
              <w:pStyle w:val="Compact"/>
              <w:jc w:val="left"/>
            </w:pPr>
            <w:r>
              <w:t xml:space="preserve">% Change</w:t>
            </w:r>
          </w:p>
        </w:tc>
      </w:tr>
      <w:tr>
        <w:tc>
          <w:tcPr/>
          <w:p>
            <w:pPr>
              <w:pStyle w:val="Compact"/>
              <w:jc w:val="left"/>
            </w:pPr>
            <w:r>
              <w:rPr>
                <w:bCs/>
                <w:b/>
              </w:rPr>
              <w:t xml:space="preserve">Total Revenue (MYR)</w:t>
            </w:r>
          </w:p>
        </w:tc>
        <w:tc>
          <w:tcPr/>
          <w:p>
            <w:pPr>
              <w:pStyle w:val="Compact"/>
              <w:jc w:val="left"/>
            </w:pPr>
            <w:r>
              <w:t xml:space="preserve">14,750,000</w:t>
            </w:r>
          </w:p>
        </w:tc>
        <w:tc>
          <w:tcPr/>
          <w:p>
            <w:pPr>
              <w:pStyle w:val="Compact"/>
              <w:jc w:val="left"/>
            </w:pPr>
            <w:r>
              <w:t xml:space="preserve">12,125,000</w:t>
            </w:r>
          </w:p>
        </w:tc>
        <w:tc>
          <w:tcPr/>
          <w:p>
            <w:pPr>
              <w:pStyle w:val="Compact"/>
              <w:jc w:val="left"/>
            </w:pPr>
            <w:r>
              <w:t xml:space="preserve">+21.6%</w:t>
            </w:r>
          </w:p>
        </w:tc>
      </w:tr>
      <w:tr>
        <w:tc>
          <w:tcPr/>
          <w:p>
            <w:pPr>
              <w:pStyle w:val="Compact"/>
              <w:jc w:val="left"/>
            </w:pPr>
            <w:r>
              <w:rPr>
                <w:bCs/>
                <w:b/>
              </w:rPr>
              <w:t xml:space="preserve">Surgeon Adoption Rate</w:t>
            </w:r>
          </w:p>
        </w:tc>
        <w:tc>
          <w:tcPr/>
          <w:p>
            <w:pPr>
              <w:pStyle w:val="Compact"/>
              <w:jc w:val="left"/>
            </w:pPr>
            <w:r>
              <w:t xml:space="preserve">87 new surgeons</w:t>
            </w:r>
          </w:p>
        </w:tc>
        <w:tc>
          <w:tcPr/>
          <w:p>
            <w:pPr>
              <w:pStyle w:val="Compact"/>
              <w:jc w:val="left"/>
            </w:pPr>
            <w:r>
              <w:t xml:space="preserve">69 new surgeons</w:t>
            </w:r>
          </w:p>
        </w:tc>
        <w:tc>
          <w:tcPr/>
          <w:p>
            <w:pPr>
              <w:pStyle w:val="Compact"/>
              <w:jc w:val="left"/>
            </w:pPr>
            <w:r>
              <w:t xml:space="preserve">+26.1%</w:t>
            </w:r>
          </w:p>
        </w:tc>
      </w:tr>
      <w:tr>
        <w:tc>
          <w:tcPr/>
          <w:p>
            <w:pPr>
              <w:pStyle w:val="Compact"/>
              <w:jc w:val="left"/>
            </w:pPr>
            <w:r>
              <w:rPr>
                <w:bCs/>
                <w:b/>
              </w:rPr>
              <w:t xml:space="preserve">KL Hospital Partnerships Signed</w:t>
            </w:r>
          </w:p>
        </w:tc>
        <w:tc>
          <w:tcPr/>
          <w:p>
            <w:pPr>
              <w:pStyle w:val="Compact"/>
              <w:jc w:val="left"/>
            </w:pPr>
            <w:r>
              <w:t xml:space="preserve">9 major institutions</w:t>
            </w:r>
          </w:p>
        </w:tc>
        <w:tc>
          <w:tcPr/>
          <w:p>
            <w:pPr>
              <w:pStyle w:val="Compact"/>
              <w:jc w:val="left"/>
            </w:pPr>
            <w:r>
              <w:t xml:space="preserve">5 major institutions</w:t>
            </w:r>
          </w:p>
        </w:tc>
        <w:tc>
          <w:tcPr/>
          <w:p>
            <w:pPr>
              <w:pStyle w:val="Compact"/>
              <w:jc w:val="left"/>
            </w:pPr>
            <w:r>
              <w:t xml:space="preserve">+80.0%</w:t>
            </w:r>
          </w:p>
        </w:tc>
      </w:tr>
      <w:tr>
        <w:tc>
          <w:tcPr/>
          <w:p>
            <w:pPr>
              <w:pStyle w:val="Compact"/>
              <w:jc w:val="left"/>
            </w:pPr>
            <w:r>
              <w:rPr>
                <w:bCs/>
                <w:b/>
              </w:rPr>
              <w:t xml:space="preserve">Product Portfolio Utilization</w:t>
            </w:r>
          </w:p>
        </w:tc>
        <w:tc>
          <w:tcPr/>
          <w:p>
            <w:pPr>
              <w:pStyle w:val="Compact"/>
              <w:jc w:val="left"/>
            </w:pPr>
            <w:r>
              <w:t xml:space="preserve">72% across KL surgical teams</w:t>
            </w:r>
          </w:p>
        </w:tc>
        <w:tc>
          <w:tcPr/>
          <w:p>
            <w:pPr>
              <w:pStyle w:val="Compact"/>
              <w:jc w:val="left"/>
            </w:pPr>
            <w:r>
              <w:t xml:space="preserve">56% across KL surgical teams</w:t>
            </w:r>
          </w:p>
        </w:tc>
        <w:tc>
          <w:tcPr/>
          <w:p>
            <w:pPr>
              <w:pStyle w:val="Compact"/>
              <w:jc w:val="left"/>
            </w:pPr>
            <w:r>
              <w:t xml:space="preserve">+16 pts.</w:t>
            </w:r>
          </w:p>
        </w:tc>
      </w:tr>
    </w:tbl>
    <w:bookmarkEnd w:id="21"/>
    <w:bookmarkStart w:id="22" w:name="malaysia-kuala-lumpur-market-analysis"/>
    <w:p>
      <w:pPr>
        <w:pStyle w:val="Heading2"/>
      </w:pPr>
      <w:r>
        <w:t xml:space="preserve">Malaysia Kuala Lumpur Market Analysis</w:t>
      </w:r>
    </w:p>
    <w:p>
      <w:pPr>
        <w:pStyle w:val="FirstParagraph"/>
      </w:pPr>
      <w:r>
        <w:t xml:space="preserve">Kuala Lumpur's medical landscape is evolving rapidly, with the city housing 47% of Malaysia's specialized hospitals and 32 of the nation's top-tier surgical centers. This concentration creates unparalleled opportunities for targeted</w:t>
      </w:r>
      <w:r>
        <w:t xml:space="preserve"> </w:t>
      </w:r>
      <w:r>
        <w:rPr>
          <w:bCs/>
          <w:b/>
        </w:rPr>
        <w:t xml:space="preserve">Surgeon</w:t>
      </w:r>
      <w:r>
        <w:t xml:space="preserve"> </w:t>
      </w:r>
      <w:r>
        <w:t xml:space="preserve">engagement. Our Q3 analysis reveals three critical trends driving success in this market:</w:t>
      </w:r>
    </w:p>
    <w:p>
      <w:pPr>
        <w:numPr>
          <w:ilvl w:val="0"/>
          <w:numId w:val="1001"/>
        </w:numPr>
        <w:pStyle w:val="Compact"/>
      </w:pPr>
      <w:r>
        <w:rPr>
          <w:bCs/>
          <w:b/>
        </w:rPr>
        <w:t xml:space="preserve">Rising Minimally Invasive Procedures:</w:t>
      </w:r>
      <w:r>
        <w:t xml:space="preserve"> </w:t>
      </w:r>
      <w:r>
        <w:t xml:space="preserve">KL hospitals reported a 34% increase in laparoscopic surgeries quarter-over-quarter, directly boosting demand for our precision instruments. Surgeons specifically cited our AI-guidance systems as reducing procedure times by 18%.</w:t>
      </w:r>
    </w:p>
    <w:p>
      <w:pPr>
        <w:numPr>
          <w:ilvl w:val="0"/>
          <w:numId w:val="1001"/>
        </w:numPr>
        <w:pStyle w:val="Compact"/>
      </w:pPr>
      <w:r>
        <w:rPr>
          <w:bCs/>
          <w:b/>
        </w:rPr>
        <w:t xml:space="preserve">Government Health Initiatives:</w:t>
      </w:r>
      <w:r>
        <w:t xml:space="preserve"> </w:t>
      </w:r>
      <w:r>
        <w:t xml:space="preserve">The Ministry of Health's "Digital Surgery Malaysia" program has allocated RM 85 million for high-tech equipment in KL hospitals, creating a perfect alignment with our product suite.</w:t>
      </w:r>
    </w:p>
    <w:p>
      <w:pPr>
        <w:numPr>
          <w:ilvl w:val="0"/>
          <w:numId w:val="1001"/>
        </w:numPr>
        <w:pStyle w:val="Compact"/>
      </w:pPr>
      <w:r>
        <w:rPr>
          <w:bCs/>
          <w:b/>
        </w:rPr>
        <w:t xml:space="preserve">Surgeon-Centric Training Demand:</w:t>
      </w:r>
      <w:r>
        <w:t xml:space="preserve"> </w:t>
      </w:r>
      <w:r>
        <w:t xml:space="preserve">89% of surveyed surgeons in Kuala Lumpur requested hands-on training sessions – a key differentiator we've leveraged through our dedicated KL education center.</w:t>
      </w:r>
    </w:p>
    <w:bookmarkEnd w:id="22"/>
    <w:bookmarkStart w:id="23" w:name="X57546782e3ba088d946dd52530740787774457b"/>
    <w:p>
      <w:pPr>
        <w:pStyle w:val="Heading2"/>
      </w:pPr>
      <w:r>
        <w:t xml:space="preserve">Strategic Surgeon Engagement in Kuala Lumpur</w:t>
      </w:r>
    </w:p>
    <w:p>
      <w:pPr>
        <w:pStyle w:val="FirstParagraph"/>
      </w:pPr>
      <w:r>
        <w:t xml:space="preserve">Our success stems from a hyper-localized approach to</w:t>
      </w:r>
      <w:r>
        <w:t xml:space="preserve"> </w:t>
      </w:r>
      <w:r>
        <w:rPr>
          <w:bCs/>
          <w:b/>
        </w:rPr>
        <w:t xml:space="preserve">Surgeon</w:t>
      </w:r>
      <w:r>
        <w:t xml:space="preserve"> </w:t>
      </w:r>
      <w:r>
        <w:t xml:space="preserve">relationship management. Unlike generic sales tactics, we implemented:</w:t>
      </w:r>
    </w:p>
    <w:p>
      <w:pPr>
        <w:numPr>
          <w:ilvl w:val="0"/>
          <w:numId w:val="1002"/>
        </w:numPr>
        <w:pStyle w:val="Compact"/>
      </w:pPr>
      <w:r>
        <w:rPr>
          <w:bCs/>
          <w:b/>
        </w:rPr>
        <w:t xml:space="preserve">Dedicated KL Surgeon Liaisons:</w:t>
      </w:r>
      <w:r>
        <w:t xml:space="preserve"> </w:t>
      </w:r>
      <w:r>
        <w:t xml:space="preserve">Three specialized account managers embedded within key hospitals (Gleneagles, Pantai, and Sunway Medical Centre), enabling same-day technical support during procedures.</w:t>
      </w:r>
    </w:p>
    <w:p>
      <w:pPr>
        <w:numPr>
          <w:ilvl w:val="0"/>
          <w:numId w:val="1002"/>
        </w:numPr>
        <w:pStyle w:val="Compact"/>
      </w:pPr>
      <w:r>
        <w:rPr>
          <w:bCs/>
          <w:b/>
        </w:rPr>
        <w:t xml:space="preserve">Real-Time Procedure Feedback Loops:</w:t>
      </w:r>
      <w:r>
        <w:t xml:space="preserve"> </w:t>
      </w:r>
      <w:r>
        <w:t xml:space="preserve">Surgeons using our systems log feedback via our mobile app during operations; this data directly informs product improvements within 72 hours – a feature highly valued by KL surgeons.</w:t>
      </w:r>
    </w:p>
    <w:p>
      <w:pPr>
        <w:numPr>
          <w:ilvl w:val="0"/>
          <w:numId w:val="1002"/>
        </w:numPr>
        <w:pStyle w:val="Compact"/>
      </w:pPr>
      <w:r>
        <w:rPr>
          <w:bCs/>
          <w:b/>
        </w:rPr>
        <w:t xml:space="preserve">Cultural Integration:</w:t>
      </w:r>
      <w:r>
        <w:t xml:space="preserve"> </w:t>
      </w:r>
      <w:r>
        <w:t xml:space="preserve">Our sales team underwent Malay language and local medical protocol training, resulting in 92% of surgeon interactions being conducted in Bahasa Malaysia for maximum rapport.</w:t>
      </w:r>
    </w:p>
    <w:bookmarkEnd w:id="23"/>
    <w:bookmarkStart w:id="24" w:name="Xad79aa4390a027f0336d8ff747f06673746cabd"/>
    <w:p>
      <w:pPr>
        <w:pStyle w:val="Heading2"/>
      </w:pPr>
      <w:r>
        <w:t xml:space="preserve">Challenges &amp; Solutions (Malaysia Kuala Lumpur Context)</w:t>
      </w:r>
    </w:p>
    <w:p>
      <w:pPr>
        <w:pStyle w:val="FirstParagraph"/>
      </w:pPr>
      <w:r>
        <w:t xml:space="preserve">While growth is strong, we navigated three significant challenges specific to the KL market:</w:t>
      </w:r>
    </w:p>
    <w:p>
      <w:pPr>
        <w:pStyle w:val="BodyText"/>
      </w:pPr>
      <w:r>
        <w:rPr>
          <w:bCs/>
          <w:b/>
        </w:rPr>
        <w:t xml:space="preserve">Challenge:</w:t>
      </w:r>
      <w:r>
        <w:t xml:space="preserve"> </w:t>
      </w:r>
      <w:r>
        <w:t xml:space="preserve">Complex hospital procurement cycles in public institutions.</w:t>
      </w:r>
      <w:r>
        <w:br/>
      </w:r>
      <w:r>
        <w:rPr>
          <w:bCs/>
          <w:b/>
        </w:rPr>
        <w:t xml:space="preserve">Solution:</w:t>
      </w:r>
      <w:r>
        <w:t xml:space="preserve"> </w:t>
      </w:r>
      <w:r>
        <w:t xml:space="preserve">Partnered with the KL Hospital Association to streamline approvals, reducing lead time from 14 weeks to 6 weeks through co-developed tender guidelines.</w:t>
      </w:r>
    </w:p>
    <w:p>
      <w:pPr>
        <w:pStyle w:val="BodyText"/>
      </w:pPr>
      <w:r>
        <w:rPr>
          <w:bCs/>
          <w:b/>
        </w:rPr>
        <w:t xml:space="preserve">Challenge:</w:t>
      </w:r>
      <w:r>
        <w:t xml:space="preserve"> </w:t>
      </w:r>
      <w:r>
        <w:t xml:space="preserve">Surgeon resistance to new technology due to perceived learning curves.</w:t>
      </w:r>
      <w:r>
        <w:br/>
      </w:r>
      <w:r>
        <w:rPr>
          <w:bCs/>
          <w:b/>
        </w:rPr>
        <w:t xml:space="preserve">Solution:</w:t>
      </w:r>
      <w:r>
        <w:t xml:space="preserve"> </w:t>
      </w:r>
      <w:r>
        <w:t xml:space="preserve">Launched "KL Surgeon Mentor Program" pairing early adopters with peers, achieving 94% retention of trained surgeons beyond the pilot phase.</w:t>
      </w:r>
    </w:p>
    <w:bookmarkEnd w:id="24"/>
    <w:bookmarkStart w:id="25" w:name="Xcf12839b5d26345edd55fbb06d2224833467f4f"/>
    <w:p>
      <w:pPr>
        <w:pStyle w:val="Heading2"/>
      </w:pPr>
      <w:r>
        <w:t xml:space="preserve">Future Strategy: Scaling Surgeon Success in Kuala Lumpur</w:t>
      </w:r>
    </w:p>
    <w:p>
      <w:pPr>
        <w:pStyle w:val="FirstParagraph"/>
      </w:pPr>
      <w:r>
        <w:t xml:space="preserve">Based on our Q3 momentum, we're accelerating three initiatives to deepen our position as the preferred</w:t>
      </w:r>
      <w:r>
        <w:t xml:space="preserve"> </w:t>
      </w:r>
      <w:r>
        <w:rPr>
          <w:bCs/>
          <w:b/>
        </w:rPr>
        <w:t xml:space="preserve">Surgeon</w:t>
      </w:r>
      <w:r>
        <w:t xml:space="preserve"> </w:t>
      </w:r>
      <w:r>
        <w:t xml:space="preserve">partner in Malaysia:</w:t>
      </w:r>
    </w:p>
    <w:p>
      <w:pPr>
        <w:numPr>
          <w:ilvl w:val="0"/>
          <w:numId w:val="1003"/>
        </w:numPr>
        <w:pStyle w:val="Compact"/>
      </w:pPr>
      <w:r>
        <w:rPr>
          <w:bCs/>
          <w:b/>
        </w:rPr>
        <w:t xml:space="preserve">KL Innovation Hub Expansion:</w:t>
      </w:r>
      <w:r>
        <w:t xml:space="preserve"> </w:t>
      </w:r>
      <w:r>
        <w:t xml:space="preserve">Allocating RM 5M to upgrade our Kuala Lumpur training facility, adding VR surgical simulators and a dedicated AI data lab – scheduled for Q1 2025 launch.</w:t>
      </w:r>
    </w:p>
    <w:p>
      <w:pPr>
        <w:numPr>
          <w:ilvl w:val="0"/>
          <w:numId w:val="1003"/>
        </w:numPr>
        <w:pStyle w:val="Compact"/>
      </w:pPr>
      <w:r>
        <w:rPr>
          <w:bCs/>
          <w:b/>
        </w:rPr>
        <w:t xml:space="preserve">Surgeon Advisory Board:</w:t>
      </w:r>
      <w:r>
        <w:t xml:space="preserve"> </w:t>
      </w:r>
      <w:r>
        <w:t xml:space="preserve">Establishing the first formal KL-based Surgeon Council with representatives from all major teaching hospitals to co-design future products, enhancing our market responsiveness.</w:t>
      </w:r>
    </w:p>
    <w:p>
      <w:pPr>
        <w:numPr>
          <w:ilvl w:val="0"/>
          <w:numId w:val="1003"/>
        </w:numPr>
        <w:pStyle w:val="Compact"/>
      </w:pPr>
      <w:r>
        <w:rPr>
          <w:bCs/>
          <w:b/>
        </w:rPr>
        <w:t xml:space="preserve">Sustainability Integration:</w:t>
      </w:r>
      <w:r>
        <w:t xml:space="preserve"> </w:t>
      </w:r>
      <w:r>
        <w:t xml:space="preserve">Launching "Green Surgery Malaysia" initiative where surgeons earn points for using our energy-efficient equipment – aligning with KL's 2030 carbon neutrality goals while increasing product stickiness.</w:t>
      </w:r>
    </w:p>
    <w:bookmarkEnd w:id="25"/>
    <w:bookmarkStart w:id="26" w:name="conclusion"/>
    <w:p>
      <w:pPr>
        <w:pStyle w:val="Heading2"/>
      </w:pPr>
      <w:r>
        <w:t xml:space="preserve">Conclusion</w:t>
      </w:r>
    </w:p>
    <w:p>
      <w:pPr>
        <w:pStyle w:val="FirstParagraph"/>
      </w:pPr>
      <w:r>
        <w:t xml:space="preserve">This</w:t>
      </w:r>
      <w:r>
        <w:t xml:space="preserve"> </w:t>
      </w:r>
      <w:r>
        <w:rPr>
          <w:bCs/>
          <w:b/>
        </w:rPr>
        <w:t xml:space="preserve">Sales Report</w:t>
      </w:r>
      <w:r>
        <w:t xml:space="preserve"> </w:t>
      </w:r>
      <w:r>
        <w:t xml:space="preserve">unequivocally demonstrates that our focused investment in the Kuala Lumpur surgeon ecosystem is yielding transformative results. The city's status as Malaysia's medical innovation capital has been leveraged through culturally attuned engagement, resulting in a 26% surge in new surgeon acquisitions and record adoption rates. Crucially, we've moved beyond transactional sales to become strategic partners for surgeons navigating KL's evolving healthcare landscape.</w:t>
      </w:r>
    </w:p>
    <w:p>
      <w:pPr>
        <w:pStyle w:val="BodyText"/>
      </w:pPr>
      <w:r>
        <w:t xml:space="preserve">As the largest contributor to our Southeast Asian revenue stream, Malaysia Kuala Lumpur demands sustained investment. Our data proves that when medical technology is tailored to the surgeon's reality – not just in product design but in relationship building and cultural understanding – remarkable growth follows. We are confident that by doubling down on this KL-centric model, we will achieve 35%+ annual growth from our surgical division within the next two years, solidifying our position as the preferred</w:t>
      </w:r>
      <w:r>
        <w:t xml:space="preserve"> </w:t>
      </w:r>
      <w:r>
        <w:rPr>
          <w:bCs/>
          <w:b/>
        </w:rPr>
        <w:t xml:space="preserve">Surgeon</w:t>
      </w:r>
      <w:r>
        <w:t xml:space="preserve"> </w:t>
      </w:r>
      <w:r>
        <w:t xml:space="preserve">partner across Malaysia.</w:t>
      </w:r>
    </w:p>
    <w:p>
      <w:pPr>
        <w:pStyle w:val="BodyText"/>
      </w:pPr>
      <w:r>
        <w:t xml:space="preserve">"In Kuala Lumpur, we don't sell equipment to surgeons – we equip them to perform better. That's why our success is measured in saved lives, not just sales figures."</w:t>
      </w:r>
    </w:p>
    <w:p>
      <w:pPr>
        <w:pStyle w:val="BodyText"/>
      </w:pPr>
      <w:r>
        <w:t xml:space="preserve">— Sarah Tan, Regional Sales Director, Southeast Asia</w:t>
      </w:r>
    </w:p>
    <w:p>
      <w:pPr>
        <w:pStyle w:val="BodyText"/>
      </w:pPr>
      <w:r>
        <w:rPr>
          <w:bCs/>
          <w:b/>
        </w:rPr>
        <w:t xml:space="preserve">Report Authored By:</w:t>
      </w:r>
      <w:r>
        <w:t xml:space="preserve"> </w:t>
      </w:r>
      <w:r>
        <w:t xml:space="preserve">Global Surgical Innovations Sales Analytics Team</w:t>
      </w:r>
    </w:p>
    <w:p>
      <w:pPr>
        <w:pStyle w:val="BodyText"/>
      </w:pPr>
      <w:r>
        <w:rPr>
          <w:bCs/>
          <w:b/>
        </w:rPr>
        <w:t xml:space="preserve">Target Market Focus:</w:t>
      </w:r>
      <w:r>
        <w:t xml:space="preserve"> </w:t>
      </w:r>
      <w:r>
        <w:t xml:space="preserve">Malaysia Kuala Lumpur (127+ hospitals, 4,300+ surgeons)</w:t>
      </w:r>
    </w:p>
    <w:p>
      <w:pPr>
        <w:pStyle w:val="BodyText"/>
      </w:pPr>
      <w:r>
        <w:rPr>
          <w:bCs/>
          <w:b/>
        </w:rPr>
        <w:t xml:space="preserve">Data Source:</w:t>
      </w:r>
      <w:r>
        <w:t xml:space="preserve"> </w:t>
      </w:r>
      <w:r>
        <w:t xml:space="preserve">Internal CRM, Hospital Procurement Records, Surgeon Feedback Surveys (N=158)</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Report: Surgeon Equipment &amp; Services - Malaysia Kuala Lumpur</dc:title>
  <dc:creator/>
  <dc:language>en</dc:language>
  <cp:keywords/>
  <dcterms:created xsi:type="dcterms:W3CDTF">2026-08-07T03:36:02Z</dcterms:created>
  <dcterms:modified xsi:type="dcterms:W3CDTF">2026-08-07T03:36:02Z</dcterms:modified>
</cp:coreProperties>
</file>

<file path=docProps/custom.xml><?xml version="1.0" encoding="utf-8"?>
<Properties xmlns="http://schemas.openxmlformats.org/officeDocument/2006/custom-properties" xmlns:vt="http://schemas.openxmlformats.org/officeDocument/2006/docPropsVTypes"/>
</file>