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Technology</w:t>
      </w:r>
      <w:r>
        <w:t xml:space="preserve"> </w:t>
      </w:r>
      <w:r>
        <w:t xml:space="preserve">Solutions</w:t>
      </w:r>
      <w:r>
        <w:t xml:space="preserve"> </w:t>
      </w:r>
      <w:r>
        <w:t xml:space="preserve">-</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7" w:name="Xed9f3b706eb0c0ef71e06a4a76dcc176c7f29d6"/>
    <w:p>
      <w:pPr>
        <w:pStyle w:val="Heading1"/>
      </w:pPr>
      <w:r>
        <w:t xml:space="preserve">Quarterly Sales Report: Surgical Technology Solutions for the New Zealand Auckland Healthcare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Surgical Innovations (PSI) - Auckland Division</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Pacific Surgical Innovations (PSI) within the critical New Zealand Auckland healthcare market during Q3 2023. The report underscores a significant 18.5% year-over-year growth in surgical technology sales, driven by heightened demand for minimally invasive solutions and strong adoption by key surgical teams across Auckland's leading public and private facilities. Crucially, this success is directly attributable to strategic alignment with the needs of operating Surgeons and deep understanding of the New Zealand healthcare landscape. The Auckland market remains our largest and most dynamic segment, representing 42% of total New Zealand sales volume for Q3.</w:t>
      </w:r>
    </w:p>
    <w:bookmarkEnd w:id="20"/>
    <w:bookmarkStart w:id="21" w:name="X6079cd43637c7c36c0831f92ec2f5d8344ae114"/>
    <w:p>
      <w:pPr>
        <w:pStyle w:val="Heading2"/>
      </w:pPr>
      <w:r>
        <w:t xml:space="preserve">II. Market Context: New Zealand Auckland Specifics</w:t>
      </w:r>
    </w:p>
    <w:p>
      <w:pPr>
        <w:pStyle w:val="FirstParagraph"/>
      </w:pPr>
      <w:r>
        <w:t xml:space="preserve">Auckland's position as New Zealand's primary health hub is undeniable. Home to over 1.5 million residents and hosting major institutions like Auckland City Hospital, Waitemata District Health Board (DHB) facilities, Starship Children’s Hospital, and premier private providers such as the North Shore Private Hospital and Auckland Private Hospital, the demand for advanced surgical capabilities is immense. The New Zealand Ministry of Health's focus on reducing hospital waiting times and improving surgical outcomes directly fuels market growth. Our Q3 performance reflects this national priority within the Auckland context. The unique geographical challenges of New Zealand, particularly access from rural regions to Auckland's tertiary centers, also amplifies the need for efficient, high-quality surgical technology that minimizes procedure times and recovery periods – a key selling point for our solutions.</w:t>
      </w:r>
    </w:p>
    <w:bookmarkEnd w:id="21"/>
    <w:bookmarkStart w:id="22" w:name="Xfc9f0e848ff22803c8e0d11d35e5ff7fa4b10a1"/>
    <w:p>
      <w:pPr>
        <w:pStyle w:val="Heading2"/>
      </w:pPr>
      <w:r>
        <w:t xml:space="preserve">III. Key Sales Performance Metrics (New Zealand Auckland Focus)</w:t>
      </w:r>
    </w:p>
    <w:p>
      <w:pPr>
        <w:pStyle w:val="FirstParagraph"/>
      </w:pPr>
      <w:r>
        <w:rPr>
          <w:bCs/>
          <w:b/>
        </w:rPr>
        <w:t xml:space="preserve">Total Sales Value (Q3 2023):</w:t>
      </w:r>
      <w:r>
        <w:t xml:space="preserve"> </w:t>
      </w:r>
      <w:r>
        <w:t xml:space="preserve">NZD $1,475,000 (vs. NZD $1,244,000 Q3 2022 - +18.5% YoY)</w:t>
      </w:r>
    </w:p>
    <w:p>
      <w:pPr>
        <w:pStyle w:val="BodyText"/>
      </w:pPr>
      <w:r>
        <w:rPr>
          <w:bCs/>
          <w:b/>
        </w:rPr>
        <w:t xml:space="preserve">Units Sold:</w:t>
      </w:r>
      <w:r>
        <w:t xml:space="preserve"> </w:t>
      </w:r>
      <w:r>
        <w:t xml:space="preserve">87 surgical system installations &amp; key accessory bundles (vs. 73 units Q3 2022 - +19.2% YoY)</w:t>
      </w:r>
    </w:p>
    <w:p>
      <w:pPr>
        <w:pStyle w:val="BodyText"/>
      </w:pPr>
      <w:r>
        <w:rPr>
          <w:bCs/>
          <w:b/>
        </w:rPr>
        <w:t xml:space="preserve">Largest Customers:</w:t>
      </w:r>
    </w:p>
    <w:p>
      <w:pPr>
        <w:numPr>
          <w:ilvl w:val="0"/>
          <w:numId w:val="1001"/>
        </w:numPr>
        <w:pStyle w:val="Compact"/>
      </w:pPr>
      <w:r>
        <w:rPr>
          <w:iCs/>
          <w:i/>
        </w:rPr>
        <w:t xml:space="preserve">Auckland City Hospital (Waitemata DHB):</w:t>
      </w:r>
      <w:r>
        <w:t xml:space="preserve"> </w:t>
      </w:r>
      <w:r>
        <w:t xml:space="preserve">NZD $450,000 (Focus: Robotic-Assisted Laparoscopy Systems for General Surgery)</w:t>
      </w:r>
    </w:p>
    <w:p>
      <w:pPr>
        <w:numPr>
          <w:ilvl w:val="0"/>
          <w:numId w:val="1001"/>
        </w:numPr>
        <w:pStyle w:val="Compact"/>
      </w:pPr>
      <w:r>
        <w:rPr>
          <w:iCs/>
          <w:i/>
        </w:rPr>
        <w:t xml:space="preserve">North Shore Private Hospital:</w:t>
      </w:r>
      <w:r>
        <w:t xml:space="preserve"> </w:t>
      </w:r>
      <w:r>
        <w:t xml:space="preserve">NZD $325,000 (Focus: Advanced Endoscopic Imaging &amp; Disposable Surgical Kits)</w:t>
      </w:r>
    </w:p>
    <w:p>
      <w:pPr>
        <w:numPr>
          <w:ilvl w:val="0"/>
          <w:numId w:val="1001"/>
        </w:numPr>
        <w:pStyle w:val="Compact"/>
      </w:pPr>
      <w:r>
        <w:rPr>
          <w:iCs/>
          <w:i/>
        </w:rPr>
        <w:t xml:space="preserve">Auckland Private Hospital:</w:t>
      </w:r>
      <w:r>
        <w:t xml:space="preserve"> </w:t>
      </w:r>
      <w:r>
        <w:t xml:space="preserve">NZD $298,000 (Focus: Minimally Invasive Spinal Surgery Platform)</w:t>
      </w:r>
    </w:p>
    <w:p>
      <w:pPr>
        <w:pStyle w:val="FirstParagraph"/>
      </w:pPr>
      <w:r>
        <w:rPr>
          <w:bCs/>
          <w:b/>
        </w:rPr>
        <w:t xml:space="preserve">Surgeon-Driven Adoption Rate:</w:t>
      </w:r>
      <w:r>
        <w:t xml:space="preserve"> </w:t>
      </w:r>
      <w:r>
        <w:t xml:space="preserve">78% of all new system installations were directly recommended by lead Surgeons within the respective institutions. This highlights the critical influence of the Surgeon in the procurement decision chain within New Zealand's healthcare model.</w:t>
      </w:r>
    </w:p>
    <w:bookmarkEnd w:id="22"/>
    <w:bookmarkStart w:id="23" w:name="iv.-product-performance-surgeon-feedback"/>
    <w:p>
      <w:pPr>
        <w:pStyle w:val="Heading2"/>
      </w:pPr>
      <w:r>
        <w:t xml:space="preserve">IV. Product Performance &amp; Surgeon Feedback</w:t>
      </w:r>
    </w:p>
    <w:p>
      <w:pPr>
        <w:pStyle w:val="FirstParagraph"/>
      </w:pPr>
      <w:r>
        <w:t xml:space="preserve">The success in New Zealand Auckland is intrinsically linked to understanding and addressing specific requirements articulated by local Surgeons:</w:t>
      </w:r>
    </w:p>
    <w:p>
      <w:pPr>
        <w:numPr>
          <w:ilvl w:val="0"/>
          <w:numId w:val="1002"/>
        </w:numPr>
        <w:pStyle w:val="Compact"/>
      </w:pPr>
      <w:r>
        <w:rPr>
          <w:bCs/>
          <w:b/>
        </w:rPr>
        <w:t xml:space="preserve">Robotic-Assisted Systems (e.g., "Aurora" Platform):</w:t>
      </w:r>
      <w:r>
        <w:t xml:space="preserve"> </w:t>
      </w:r>
      <w:r>
        <w:t xml:space="preserve">Sales increased by 25% YoY. Surgeons at Auckland City Hospital specifically cited improved dexterity for complex biliary surgery and reduced fatigue during lengthy procedures as key factors in their endorsement. Feedback emphasized seamless integration with existing hospital IT systems, a critical factor often overlooked by competitors.</w:t>
      </w:r>
    </w:p>
    <w:p>
      <w:pPr>
        <w:numPr>
          <w:ilvl w:val="0"/>
          <w:numId w:val="1002"/>
        </w:numPr>
        <w:pStyle w:val="Compact"/>
      </w:pPr>
      <w:r>
        <w:rPr>
          <w:bCs/>
          <w:b/>
        </w:rPr>
        <w:t xml:space="preserve">Advanced Endoscopic Imaging (e.g., "ClearVision" 4K System):</w:t>
      </w:r>
      <w:r>
        <w:t xml:space="preserve"> </w:t>
      </w:r>
      <w:r>
        <w:t xml:space="preserve">Sales up 22% YoY. Surgeons across multiple Auckland facilities praised the system's superior image clarity, especially in low-light conditions common during abdominal procedures, directly contributing to improved diagnostic confidence and precision. This was a primary driver for upgrades at North Shore Private Hospital.</w:t>
      </w:r>
    </w:p>
    <w:p>
      <w:pPr>
        <w:numPr>
          <w:ilvl w:val="0"/>
          <w:numId w:val="1002"/>
        </w:numPr>
        <w:pStyle w:val="Compact"/>
      </w:pPr>
      <w:r>
        <w:rPr>
          <w:bCs/>
          <w:b/>
        </w:rPr>
        <w:t xml:space="preserve">Minimally Invasive Spinal Kits (e.g., "VertiFix" Line):</w:t>
      </w:r>
      <w:r>
        <w:t xml:space="preserve"> </w:t>
      </w:r>
      <w:r>
        <w:t xml:space="preserve">Sales increased by 15% YoY. Surgeons highlighted the intuitive design, which significantly shortened operating room times for common spinal decompression procedures – a major priority in managing Auckland's high patient volume. The reduction in post-operative pain and faster recovery times also resonated strongly with patient satisfaction metrics crucial for private hospital reputation.</w:t>
      </w:r>
    </w:p>
    <w:p>
      <w:pPr>
        <w:pStyle w:val="FirstParagraph"/>
      </w:pPr>
      <w:r>
        <w:t xml:space="preserve">Crucially, our dedicated Auckland-based Clinical Application Specialists (CAS) played a pivotal role. These specialists, deeply familiar with the New Zealand context and building strong rapport directly with Surgeons, conducted over 120 on-site demonstrations and tailored training sessions during Q3. This direct engagement was instrumental in overcoming initial adoption hesitations and securing contracts.</w:t>
      </w:r>
    </w:p>
    <w:bookmarkEnd w:id="23"/>
    <w:bookmarkStart w:id="24" w:name="X374bc69507065e476c96608c6c6da39c50938e6"/>
    <w:p>
      <w:pPr>
        <w:pStyle w:val="Heading2"/>
      </w:pPr>
      <w:r>
        <w:t xml:space="preserve">V. Challenges &amp; Strategic Response (New Zealand Auckland Specific)</w:t>
      </w:r>
    </w:p>
    <w:p>
      <w:pPr>
        <w:pStyle w:val="FirstParagraph"/>
      </w:pPr>
      <w:r>
        <w:t xml:space="preserve">While the market is strong, challenges specific to New Zealand Auckland emerged:</w:t>
      </w:r>
    </w:p>
    <w:p>
      <w:pPr>
        <w:numPr>
          <w:ilvl w:val="0"/>
          <w:numId w:val="1003"/>
        </w:numPr>
        <w:pStyle w:val="Compact"/>
      </w:pPr>
      <w:r>
        <w:rPr>
          <w:bCs/>
          <w:b/>
        </w:rPr>
        <w:t xml:space="preserve">Supply Chain Volatility:</w:t>
      </w:r>
      <w:r>
        <w:t xml:space="preserve"> </w:t>
      </w:r>
      <w:r>
        <w:t xml:space="preserve">Delays in importing key components from Asia impacted delivery timelines for 3 major orders. Our response: Implemented a localised secondary sourcing strategy for non-core components and increased safety stock of critical items, reducing average lead times by 25% for Q4.</w:t>
      </w:r>
    </w:p>
    <w:p>
      <w:pPr>
        <w:numPr>
          <w:ilvl w:val="0"/>
          <w:numId w:val="1003"/>
        </w:numPr>
        <w:pStyle w:val="Compact"/>
      </w:pPr>
      <w:r>
        <w:rPr>
          <w:bCs/>
          <w:b/>
        </w:rPr>
        <w:t xml:space="preserve">DHB Budget Constraints:</w:t>
      </w:r>
      <w:r>
        <w:t xml:space="preserve"> </w:t>
      </w:r>
      <w:r>
        <w:t xml:space="preserve">Waitemata DHB budget cycles impacted large system purchases. Our response: Developed flexible financing options (leasing &amp; phased payment plans) specifically for public sector clients, successfully securing the Auckland City Hospital order through this tailored approach.</w:t>
      </w:r>
    </w:p>
    <w:p>
      <w:pPr>
        <w:pStyle w:val="FirstParagraph"/>
      </w:pPr>
      <w:r>
        <w:t xml:space="preserve">These challenges reinforced the necessity of a hyper-local sales and support strategy within the New Zealand Auckland market, where understanding budgetary rhythms and regulatory pathways is paramount.</w:t>
      </w:r>
    </w:p>
    <w:bookmarkEnd w:id="24"/>
    <w:bookmarkStart w:id="25" w:name="X42befdf5fc60a23d54b459f9a900f9f6d09b964"/>
    <w:p>
      <w:pPr>
        <w:pStyle w:val="Heading2"/>
      </w:pPr>
      <w:r>
        <w:t xml:space="preserve">VI. Future Outlook &amp; Strategic Focus for New Zealand Auckland</w:t>
      </w:r>
    </w:p>
    <w:p>
      <w:pPr>
        <w:pStyle w:val="FirstParagraph"/>
      </w:pPr>
      <w:r>
        <w:t xml:space="preserve">The outlook for surgical technology sales in New Zealand Auckland remains exceptionally positive. Key drivers include:</w:t>
      </w:r>
    </w:p>
    <w:p>
      <w:pPr>
        <w:numPr>
          <w:ilvl w:val="0"/>
          <w:numId w:val="1004"/>
        </w:numPr>
        <w:pStyle w:val="Compact"/>
      </w:pPr>
      <w:r>
        <w:rPr>
          <w:bCs/>
          <w:b/>
        </w:rPr>
        <w:t xml:space="preserve">National Surgical Strategy:</w:t>
      </w:r>
      <w:r>
        <w:t xml:space="preserve"> </w:t>
      </w:r>
      <w:r>
        <w:t xml:space="preserve">The Ministry of Health's ongoing initiatives to modernize surgical services directly support our product value proposition.</w:t>
      </w:r>
    </w:p>
    <w:p>
      <w:pPr>
        <w:numPr>
          <w:ilvl w:val="0"/>
          <w:numId w:val="1004"/>
        </w:numPr>
        <w:pStyle w:val="Compact"/>
      </w:pPr>
      <w:r>
        <w:rPr>
          <w:bCs/>
          <w:b/>
        </w:rPr>
        <w:t xml:space="preserve">Surgeon Advocacy &amp; Training:</w:t>
      </w:r>
      <w:r>
        <w:t xml:space="preserve"> </w:t>
      </w:r>
      <w:r>
        <w:t xml:space="preserve">The success in Q3 has created a strong network of satisfied Surgeons who are actively championing PSI solutions within Auckland's medical community. We plan to leverage this through targeted surgeon-led workshops and peer-to-peer case studies.</w:t>
      </w:r>
    </w:p>
    <w:p>
      <w:pPr>
        <w:numPr>
          <w:ilvl w:val="0"/>
          <w:numId w:val="1004"/>
        </w:numPr>
        <w:pStyle w:val="Compact"/>
      </w:pPr>
      <w:r>
        <w:rPr>
          <w:bCs/>
          <w:b/>
        </w:rPr>
        <w:t xml:space="preserve">Focus on Rural Access:</w:t>
      </w:r>
      <w:r>
        <w:t xml:space="preserve"> </w:t>
      </w:r>
      <w:r>
        <w:t xml:space="preserve">As Auckland serves as the hub for regional referrals, our technology that enables faster procedures and better outcomes will be increasingly valued by both city hospitals and referring rural facilities. This creates a powerful indirect sales channel.</w:t>
      </w:r>
    </w:p>
    <w:p>
      <w:pPr>
        <w:pStyle w:val="FirstParagraph"/>
      </w:pPr>
      <w:r>
        <w:t xml:space="preserve">In conclusion, this Sales Report demonstrates robust growth for Pacific Surgical Innovations within the vital New Zealand Auckland market. The 18.5% year-on-year increase is not merely a financial metric; it signifies deepening trust and partnership with the Surgeons who are at the forefront of patient care in our region. Success hinges on our unwavering focus on their specific clinical needs, cultural understanding of the New Zealand healthcare environment, and agile local support structures. The commitment to serving Auckland – through its surgeons, hospitals, and patients – is fundamental to our strategy for sustained growth across all of New Zealand.</w:t>
      </w:r>
    </w:p>
    <w:bookmarkEnd w:id="25"/>
    <w:bookmarkStart w:id="26" w:name="vii.-prepared-by"/>
    <w:p>
      <w:pPr>
        <w:pStyle w:val="Heading2"/>
      </w:pPr>
      <w:r>
        <w:t xml:space="preserve">VII. Prepared By</w:t>
      </w:r>
    </w:p>
    <w:p>
      <w:pPr>
        <w:pStyle w:val="FirstParagraph"/>
      </w:pPr>
      <w:r>
        <w:t xml:space="preserve">Emma Chen</w:t>
      </w:r>
      <w:r>
        <w:br/>
      </w:r>
      <w:r>
        <w:t xml:space="preserve">Regional Sales Director - Australasia</w:t>
      </w:r>
      <w:r>
        <w:br/>
      </w:r>
      <w:r>
        <w:t xml:space="preserve">Pacific Surgical Innovations (PSI)</w:t>
      </w:r>
      <w:r>
        <w:br/>
      </w:r>
      <w:r>
        <w:t xml:space="preserve">Auckland,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Technology Solutions - New Zealand Auckland Market</dc:title>
  <dc:creator/>
  <dc:language>en</dc:language>
  <cp:keywords/>
  <dcterms:created xsi:type="dcterms:W3CDTF">2025-12-11T16:34:18Z</dcterms:created>
  <dcterms:modified xsi:type="dcterms:W3CDTF">2025-12-11T16:34:18Z</dcterms:modified>
</cp:coreProperties>
</file>

<file path=docProps/custom.xml><?xml version="1.0" encoding="utf-8"?>
<Properties xmlns="http://schemas.openxmlformats.org/officeDocument/2006/custom-properties" xmlns:vt="http://schemas.openxmlformats.org/officeDocument/2006/docPropsVTypes"/>
</file>