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Manila,</w:t>
      </w:r>
      <w:r>
        <w:t xml:space="preserve"> </w:t>
      </w:r>
      <w:r>
        <w:t xml:space="preserve">Philippines</w:t>
      </w:r>
    </w:p>
    <w:bookmarkStart w:id="30" w:name="X699002d2bcee2950645aab3f5893a00ee1dcc17"/>
    <w:p>
      <w:pPr>
        <w:pStyle w:val="Heading1"/>
      </w:pPr>
      <w:r>
        <w:t xml:space="preserve">Surgeon Equipment Sales Performance Report | Manila, Philippines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Committee |</w:t>
      </w:r>
      <w:r>
        <w:t xml:space="preserve"> </w:t>
      </w:r>
      <w:r>
        <w:rPr>
          <w:bCs/>
          <w:b/>
        </w:rPr>
        <w:t xml:space="preserve">Reporting Period:</w:t>
      </w:r>
      <w:r>
        <w:t xml:space="preserve"> </w:t>
      </w:r>
      <w:r>
        <w:t xml:space="preserve">Q3 2023 (July - September)</w:t>
      </w:r>
    </w:p>
    <w:p>
      <w:pPr>
        <w:pStyle w:val="BodyText"/>
      </w:pPr>
      <w:r>
        <w:t xml:space="preserve">This comprehensive report details the performance of our surgical equipment sales division across key healthcare institutions in Manila, Philippines. With over 150 active accounts serving surgeons at major hospitals and private clinics throughout the metropolis, this report underscores our strategic growth in one of Southeast Asia's most dynamic medical markets. The success metrics reflect exceptional partnership with local surgical teams and alignment with the Philippines' national healthcare modernization goals.</w:t>
      </w:r>
    </w:p>
    <w:bookmarkStart w:id="20" w:name="executive-summary"/>
    <w:p>
      <w:pPr>
        <w:pStyle w:val="Heading2"/>
      </w:pPr>
      <w:r>
        <w:t xml:space="preserve">Executive Summary</w:t>
      </w:r>
    </w:p>
    <w:p>
      <w:pPr>
        <w:pStyle w:val="FirstParagraph"/>
      </w:pPr>
      <w:r>
        <w:t xml:space="preserve">Q3 2023 marked a pivotal quarter for Surgeon Medical Solutions in Manila, achieving a 18.7% year-over-year revenue increase to ₱14.8 million (USD $265,000). This growth exceeds our regional target by 3.2 percentage points, driven by strategic partnerships with 17 new surgical facilities and a 22% uptick in repeat orders from existing surgeon clients. Notably, we've secured contracts with three major teaching hospitals in Quezon City and Mandaluyong – expanding our footprint across Manila's healthcare ecosystem.</w:t>
      </w:r>
    </w:p>
    <w:bookmarkEnd w:id="20"/>
    <w:bookmarkStart w:id="21" w:name="market-analysis-surgeon-demand-landscape"/>
    <w:p>
      <w:pPr>
        <w:pStyle w:val="Heading2"/>
      </w:pPr>
      <w:r>
        <w:t xml:space="preserve">Market Analysis: Surgeon Demand Landscape</w:t>
      </w:r>
    </w:p>
    <w:p>
      <w:pPr>
        <w:pStyle w:val="FirstParagraph"/>
      </w:pPr>
      <w:r>
        <w:t xml:space="preserve">Manila's surgical sector faces unique dynamics requiring specialized solutions:</w:t>
      </w:r>
    </w:p>
    <w:p>
      <w:pPr>
        <w:numPr>
          <w:ilvl w:val="0"/>
          <w:numId w:val="1001"/>
        </w:numPr>
        <w:pStyle w:val="Compact"/>
      </w:pPr>
      <w:r>
        <w:rPr>
          <w:bCs/>
          <w:b/>
        </w:rPr>
        <w:t xml:space="preserve">High Volume Procedures:</w:t>
      </w:r>
      <w:r>
        <w:t xml:space="preserve"> </w:t>
      </w:r>
      <w:r>
        <w:t xml:space="preserve">Manila hospitals perform over 350,000 surgeries annually (PH Department of Health, 2023), with increasing demand for minimally invasive procedures</w:t>
      </w:r>
    </w:p>
    <w:p>
      <w:pPr>
        <w:numPr>
          <w:ilvl w:val="0"/>
          <w:numId w:val="1001"/>
        </w:numPr>
        <w:pStyle w:val="Compact"/>
      </w:pPr>
      <w:r>
        <w:rPr>
          <w:bCs/>
          <w:b/>
        </w:rPr>
        <w:t xml:space="preserve">Infrastructure Gap:</w:t>
      </w:r>
      <w:r>
        <w:t xml:space="preserve"> </w:t>
      </w:r>
      <w:r>
        <w:t xml:space="preserve">Only 47% of private surgical facilities have updated equipment compared to Singapore's 89%</w:t>
      </w:r>
    </w:p>
    <w:p>
      <w:pPr>
        <w:numPr>
          <w:ilvl w:val="0"/>
          <w:numId w:val="1001"/>
        </w:numPr>
        <w:pStyle w:val="Compact"/>
      </w:pPr>
      <w:r>
        <w:rPr>
          <w:bCs/>
          <w:b/>
        </w:rPr>
        <w:t xml:space="preserve">Surgeon Preference Shift:</w:t>
      </w:r>
      <w:r>
        <w:t xml:space="preserve"> </w:t>
      </w:r>
      <w:r>
        <w:t xml:space="preserve">Local surgeons increasingly prioritize equipment longevity (72%) and after-sales support (68%) over price, per our Q3 client survey</w:t>
      </w:r>
    </w:p>
    <w:bookmarkEnd w:id="21"/>
    <w:bookmarkStart w:id="22" w:name="product-performance-highlights"/>
    <w:p>
      <w:pPr>
        <w:pStyle w:val="Heading2"/>
      </w:pPr>
      <w:r>
        <w:t xml:space="preserve">Product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Equipment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Laparoscopic Systems</w:t>
            </w:r>
          </w:p>
        </w:tc>
        <w:tc>
          <w:tcPr/>
          <w:p>
            <w:pPr>
              <w:pStyle w:val="Compact"/>
              <w:jc w:val="left"/>
            </w:pPr>
            <w:r>
              <w:t xml:space="preserve">5,820,000</w:t>
            </w:r>
          </w:p>
        </w:tc>
        <w:tc>
          <w:tcPr/>
          <w:p>
            <w:pPr>
              <w:pStyle w:val="Compact"/>
              <w:jc w:val="left"/>
            </w:pPr>
            <w:r>
              <w:t xml:space="preserve">39.4%</w:t>
            </w:r>
          </w:p>
        </w:tc>
        <w:tc>
          <w:tcPr/>
          <w:p>
            <w:pPr>
              <w:pStyle w:val="Compact"/>
              <w:jc w:val="left"/>
            </w:pPr>
            <w:r>
              <w:t xml:space="preserve">+15.6%</w:t>
            </w:r>
          </w:p>
        </w:tc>
      </w:tr>
      <w:tr>
        <w:tc>
          <w:tcPr/>
          <w:p>
            <w:pPr>
              <w:pStyle w:val="Compact"/>
              <w:jc w:val="left"/>
            </w:pPr>
            <w:r>
              <w:t xml:space="preserve">Surgical Robotics (New Launch)</w:t>
            </w:r>
          </w:p>
        </w:tc>
        <w:tc>
          <w:tcPr/>
          <w:p>
            <w:pPr>
              <w:pStyle w:val="Compact"/>
              <w:jc w:val="left"/>
            </w:pPr>
            <w:r>
              <w:t xml:space="preserve">2,150,000</w:t>
            </w:r>
          </w:p>
        </w:tc>
        <w:tc>
          <w:tcPr/>
          <w:p>
            <w:pPr>
              <w:pStyle w:val="Compact"/>
              <w:jc w:val="left"/>
            </w:pPr>
            <w:r>
              <w:t xml:space="preserve">14.5%</w:t>
            </w:r>
          </w:p>
        </w:tc>
        <w:tc>
          <w:tcPr/>
          <w:p>
            <w:pPr>
              <w:pStyle w:val="Compact"/>
              <w:jc w:val="left"/>
            </w:pPr>
            <w:r>
              <w:t xml:space="preserve">+278% (Quarterly)</w:t>
            </w:r>
          </w:p>
        </w:tc>
      </w:tr>
      <w:tr>
        <w:tc>
          <w:tcPr/>
          <w:p>
            <w:pPr>
              <w:pStyle w:val="Compact"/>
              <w:jc w:val="left"/>
            </w:pPr>
            <w:r>
              <w:t xml:space="preserve">Hospital-Grade Endoscopes</w:t>
            </w:r>
          </w:p>
        </w:tc>
        <w:tc>
          <w:tcPr/>
          <w:p>
            <w:pPr>
              <w:pStyle w:val="Compact"/>
              <w:jc w:val="left"/>
            </w:pPr>
            <w:r>
              <w:t xml:space="preserve">3,285,000</w:t>
            </w:r>
          </w:p>
        </w:tc>
        <w:tc>
          <w:tcPr/>
          <w:p>
            <w:pPr>
              <w:pStyle w:val="Compact"/>
              <w:jc w:val="left"/>
            </w:pPr>
            <w:r>
              <w:t xml:space="preserve">22.2%</w:t>
            </w:r>
          </w:p>
        </w:tc>
        <w:tc>
          <w:tcPr/>
          <w:p>
            <w:pPr>
              <w:pStyle w:val="Compact"/>
              <w:jc w:val="left"/>
            </w:pPr>
            <w:r>
              <w:t xml:space="preserve">+9.3%</w:t>
            </w:r>
          </w:p>
        </w:tc>
      </w:tr>
      <w:tr>
        <w:tc>
          <w:tcPr/>
          <w:p>
            <w:pPr>
              <w:pStyle w:val="Compact"/>
              <w:jc w:val="left"/>
            </w:pPr>
            <w:r>
              <w:t xml:space="preserve">Surgical Navigation Systems</w:t>
            </w:r>
          </w:p>
        </w:tc>
        <w:tc>
          <w:tcPr/>
          <w:p>
            <w:pPr>
              <w:pStyle w:val="Compact"/>
              <w:jc w:val="left"/>
            </w:pPr>
            <w:r>
              <w:t xml:space="preserve">1,675,000</w:t>
            </w:r>
          </w:p>
        </w:tc>
        <w:tc>
          <w:tcPr/>
          <w:p>
            <w:pPr>
              <w:pStyle w:val="Compact"/>
              <w:jc w:val="left"/>
            </w:pPr>
            <w:r>
              <w:t xml:space="preserve">11.3%</w:t>
            </w:r>
          </w:p>
        </w:tc>
        <w:tc>
          <w:tcPr/>
          <w:p>
            <w:pPr>
              <w:pStyle w:val="Compact"/>
              <w:jc w:val="left"/>
            </w:pPr>
            <w:r>
              <w:t xml:space="preserve">+34.1%</w:t>
            </w:r>
          </w:p>
        </w:tc>
      </w:tr>
      <w:tr>
        <w:tc>
          <w:tcPr/>
          <w:p>
            <w:pPr>
              <w:pStyle w:val="Compact"/>
              <w:jc w:val="left"/>
            </w:pPr>
            <w:r>
              <w:t xml:space="preserve">Total</w:t>
            </w:r>
          </w:p>
        </w:tc>
        <w:tc>
          <w:tcPr/>
          <w:p>
            <w:pPr>
              <w:pStyle w:val="Compact"/>
              <w:jc w:val="left"/>
            </w:pPr>
            <w:r>
              <w:rPr>
                <w:bCs/>
                <w:b/>
              </w:rPr>
              <w:t xml:space="preserve">12,930,000</w:t>
            </w:r>
          </w:p>
        </w:tc>
        <w:tc>
          <w:tcPr/>
          <w:p>
            <w:pPr>
              <w:pStyle w:val="Compact"/>
              <w:jc w:val="left"/>
            </w:pPr>
            <w:r>
              <w:rPr>
                <w:bCs/>
                <w:b/>
              </w:rPr>
              <w:t xml:space="preserve">87.4%</w:t>
            </w:r>
          </w:p>
        </w:tc>
        <w:tc>
          <w:tcPr/>
          <w:p>
            <w:pPr>
              <w:pStyle w:val="Compact"/>
              <w:jc w:val="left"/>
            </w:pPr>
            <w:r>
              <w:rPr>
                <w:bCs/>
                <w:b/>
              </w:rPr>
              <w:t xml:space="preserve">+21.5%</w:t>
            </w:r>
          </w:p>
        </w:tc>
      </w:tr>
    </w:tbl>
    <w:p>
      <w:pPr>
        <w:pStyle w:val="BodyText"/>
      </w:pPr>
      <w:r>
        <w:t xml:space="preserve">The exceptional performance of our surgical robotics platform (launched May 2023) demonstrates Manila surgeons' receptiveness to cutting-edge technology. Initial installations at St. Luke's Medical Center and Makati Medical Center have generated significant word-of-mouth referrals among surgical teams.</w:t>
      </w:r>
    </w:p>
    <w:bookmarkEnd w:id="22"/>
    <w:bookmarkStart w:id="26" w:name="X120541b791b9ca5ad87347041c9be318f5a1bad"/>
    <w:p>
      <w:pPr>
        <w:pStyle w:val="Heading2"/>
      </w:pPr>
      <w:r>
        <w:t xml:space="preserve">Key Strategic Initiatives Driving Surgeon Adoption</w:t>
      </w:r>
    </w:p>
    <w:bookmarkStart w:id="23" w:name="surgeon-centric-training-program"/>
    <w:p>
      <w:pPr>
        <w:pStyle w:val="Heading3"/>
      </w:pPr>
      <w:r>
        <w:t xml:space="preserve">1. Surgeon-Centric Training Program</w:t>
      </w:r>
    </w:p>
    <w:p>
      <w:pPr>
        <w:pStyle w:val="FirstParagraph"/>
      </w:pPr>
      <w:r>
        <w:t xml:space="preserve">We implemented "Surgeon Mastery Clinics" in partnership with Manila Doctors' Association. These hands-on workshops (held at our Poblacion training facility) reduced equipment adoption time by 40% and increased satisfaction scores to 94%. Over 217 surgeons participated this quarter, including Dr. Elena Santos (Cardiothoracic Specialist, Philippine General Hospital).</w:t>
      </w:r>
    </w:p>
    <w:bookmarkEnd w:id="23"/>
    <w:bookmarkStart w:id="24" w:name="localized-after-sales-support"/>
    <w:p>
      <w:pPr>
        <w:pStyle w:val="Heading3"/>
      </w:pPr>
      <w:r>
        <w:t xml:space="preserve">2. Localized After-Sales Support</w:t>
      </w:r>
    </w:p>
    <w:p>
      <w:pPr>
        <w:pStyle w:val="FirstParagraph"/>
      </w:pPr>
      <w:r>
        <w:t xml:space="preserve">Established a dedicated Manila-based technical team with Filipino engineers and nurses trained in our systems. Response time to surgeon service requests now averages 4 hours (vs. industry standard of 12+ hours), directly addressing surgeons' top pain point per client feedback.</w:t>
      </w:r>
    </w:p>
    <w:bookmarkEnd w:id="24"/>
    <w:bookmarkStart w:id="25" w:name="government-health-partnership"/>
    <w:p>
      <w:pPr>
        <w:pStyle w:val="Heading3"/>
      </w:pPr>
      <w:r>
        <w:t xml:space="preserve">3. Government Health Partnership</w:t>
      </w:r>
    </w:p>
    <w:p>
      <w:pPr>
        <w:pStyle w:val="FirstParagraph"/>
      </w:pPr>
      <w:r>
        <w:t xml:space="preserve">Secured Department of Health certification for our Endoscopic Systems under the "Modern Hospital Equipment Program," enabling public hospital procurement at 15% cost savings versus competitors. This initiative directly supports President Marcos' healthcare modernization agenda.</w:t>
      </w:r>
    </w:p>
    <w:bookmarkEnd w:id="25"/>
    <w:bookmarkEnd w:id="26"/>
    <w:bookmarkStart w:id="27" w:name="challenges-mitigation-strategies"/>
    <w:p>
      <w:pPr>
        <w:pStyle w:val="Heading2"/>
      </w:pPr>
      <w:r>
        <w:t xml:space="preserve">Challenges &amp; Mitigation Strategies</w:t>
      </w:r>
    </w:p>
    <w:p>
      <w:pPr>
        <w:pStyle w:val="FirstParagraph"/>
      </w:pPr>
      <w:r>
        <w:t xml:space="preserve">Currency Volatility Impact</w:t>
      </w:r>
    </w:p>
    <w:p>
      <w:pPr>
        <w:pStyle w:val="BodyText"/>
      </w:pPr>
      <w:r>
        <w:t xml:space="preserve">Philippine Peso depreciation against USD (13% YTD) increased equipment import costs. We mitigated this through:</w:t>
      </w:r>
    </w:p>
    <w:p>
      <w:pPr>
        <w:numPr>
          <w:ilvl w:val="0"/>
          <w:numId w:val="1002"/>
        </w:numPr>
        <w:pStyle w:val="Compact"/>
      </w:pPr>
      <w:r>
        <w:t xml:space="preserve">Negotiated 8-month supplier credit terms with German manufacturing partners</w:t>
      </w:r>
    </w:p>
    <w:p>
      <w:pPr>
        <w:numPr>
          <w:ilvl w:val="0"/>
          <w:numId w:val="1002"/>
        </w:numPr>
        <w:pStyle w:val="Compact"/>
      </w:pPr>
      <w:r>
        <w:t xml:space="preserve">Introduced flexible payment plans for public hospitals (30/60/90 days)</w:t>
      </w:r>
    </w:p>
    <w:p>
      <w:pPr>
        <w:numPr>
          <w:ilvl w:val="0"/>
          <w:numId w:val="1002"/>
        </w:numPr>
        <w:pStyle w:val="Compact"/>
      </w:pPr>
      <w:r>
        <w:t xml:space="preserve">Localized assembly of 35% component parts at our Manila warehouse</w:t>
      </w:r>
    </w:p>
    <w:p>
      <w:pPr>
        <w:pStyle w:val="FirstParagraph"/>
      </w:pPr>
      <w:r>
        <w:t xml:space="preserve">Competitive Landscape</w:t>
      </w:r>
    </w:p>
    <w:p>
      <w:pPr>
        <w:pStyle w:val="BodyText"/>
      </w:pPr>
      <w:r>
        <w:t xml:space="preserve">Regional competitor MedTech Asia gained market share through aggressive pricing. Our counter-strategy focused on:</w:t>
      </w:r>
    </w:p>
    <w:p>
      <w:pPr>
        <w:numPr>
          <w:ilvl w:val="0"/>
          <w:numId w:val="1003"/>
        </w:numPr>
        <w:pStyle w:val="Compact"/>
      </w:pPr>
      <w:r>
        <w:t xml:space="preserve">Premium value proposition emphasizing 5-year warranty vs. competitors' 2-year</w:t>
      </w:r>
    </w:p>
    <w:p>
      <w:pPr>
        <w:numPr>
          <w:ilvl w:val="0"/>
          <w:numId w:val="1003"/>
        </w:numPr>
        <w:pStyle w:val="Compact"/>
      </w:pPr>
      <w:r>
        <w:t xml:space="preserve">Exclusive surgeon consultation services (2x/month at no additional cost)</w:t>
      </w:r>
    </w:p>
    <w:p>
      <w:pPr>
        <w:numPr>
          <w:ilvl w:val="0"/>
          <w:numId w:val="1003"/>
        </w:numPr>
        <w:pStyle w:val="Compact"/>
      </w:pPr>
      <w:r>
        <w:t xml:space="preserve">Referral bonuses for surgeons who bring new accounts</w:t>
      </w:r>
    </w:p>
    <w:bookmarkEnd w:id="27"/>
    <w:bookmarkStart w:id="28" w:name="manila-specific-market-opportunities"/>
    <w:p>
      <w:pPr>
        <w:pStyle w:val="Heading2"/>
      </w:pPr>
      <w:r>
        <w:t xml:space="preserve">Manila-Specific Market Opportunities</w:t>
      </w:r>
    </w:p>
    <w:p>
      <w:pPr>
        <w:pStyle w:val="FirstParagraph"/>
      </w:pPr>
      <w:r>
        <w:t xml:space="preserve">The Manila medical market presents three high-potential growth vectors for Surgeon Equipment Solutions:</w:t>
      </w:r>
    </w:p>
    <w:p>
      <w:pPr>
        <w:numPr>
          <w:ilvl w:val="0"/>
          <w:numId w:val="1004"/>
        </w:numPr>
        <w:pStyle w:val="Compact"/>
      </w:pPr>
      <w:r>
        <w:rPr>
          <w:bCs/>
          <w:b/>
        </w:rPr>
        <w:t xml:space="preserve">Philippine Surgery Association (PSA) Partnership:</w:t>
      </w:r>
      <w:r>
        <w:t xml:space="preserve"> </w:t>
      </w:r>
      <w:r>
        <w:t xml:space="preserve">Formal collaboration to develop standardized surgical equipment protocols, positioning us as the technical authority</w:t>
      </w:r>
    </w:p>
    <w:p>
      <w:pPr>
        <w:numPr>
          <w:ilvl w:val="0"/>
          <w:numId w:val="1004"/>
        </w:numPr>
        <w:pStyle w:val="Compact"/>
      </w:pPr>
      <w:r>
        <w:rPr>
          <w:bCs/>
          <w:b/>
        </w:rPr>
        <w:t xml:space="preserve">Dental &amp; Cosmetic Surgeon Expansion:</w:t>
      </w:r>
      <w:r>
        <w:t xml:space="preserve"> </w:t>
      </w:r>
      <w:r>
        <w:t xml:space="preserve">32% of Manila's surgical market is non-tertiary (dental/cosmetic); our entry into this segment grew 67% YoY</w:t>
      </w:r>
    </w:p>
    <w:p>
      <w:pPr>
        <w:numPr>
          <w:ilvl w:val="0"/>
          <w:numId w:val="1004"/>
        </w:numPr>
        <w:pStyle w:val="Compact"/>
      </w:pPr>
      <w:r>
        <w:rPr>
          <w:bCs/>
          <w:b/>
        </w:rPr>
        <w:t xml:space="preserve">Telemedicine Integration:</w:t>
      </w:r>
      <w:r>
        <w:t xml:space="preserve"> </w:t>
      </w:r>
      <w:r>
        <w:t xml:space="preserve">Developing IoT-enabled equipment for remote surgeon monitoring – first pilot with Ayala Healthcare network starting Q1 2024</w:t>
      </w:r>
    </w:p>
    <w:bookmarkEnd w:id="28"/>
    <w:bookmarkStart w:id="29" w:name="conclusion-strategic-recommendations"/>
    <w:p>
      <w:pPr>
        <w:pStyle w:val="Heading2"/>
      </w:pPr>
      <w:r>
        <w:t xml:space="preserve">Conclusion &amp; Strategic Recommendations</w:t>
      </w:r>
    </w:p>
    <w:p>
      <w:pPr>
        <w:pStyle w:val="FirstParagraph"/>
      </w:pPr>
      <w:r>
        <w:t xml:space="preserve">The Manila surgical equipment market demonstrates robust growth potential aligned with the Philippines' healthcare transformation goals. Surgeon Medical Solutions has established itself as a preferred partner through technology innovation, localized support, and surgeon-focused service models. We project 25% annual growth for our Manila division in 2024 based on current pipeline strength.</w:t>
      </w:r>
    </w:p>
    <w:p>
      <w:pPr>
        <w:pStyle w:val="BodyText"/>
      </w:pPr>
      <w:r>
        <w:rPr>
          <w:bCs/>
          <w:b/>
        </w:rPr>
        <w:t xml:space="preserve">Recommendations:</w:t>
      </w:r>
    </w:p>
    <w:p>
      <w:pPr>
        <w:numPr>
          <w:ilvl w:val="0"/>
          <w:numId w:val="1005"/>
        </w:numPr>
        <w:pStyle w:val="Compact"/>
      </w:pPr>
      <w:r>
        <w:t xml:space="preserve">Allocate ₱3M for expanded training facilities at the Manila campus to accommodate 50% more surgeon participants</w:t>
      </w:r>
    </w:p>
    <w:p>
      <w:pPr>
        <w:numPr>
          <w:ilvl w:val="0"/>
          <w:numId w:val="1005"/>
        </w:numPr>
        <w:pStyle w:val="Compact"/>
      </w:pPr>
      <w:r>
        <w:t xml:space="preserve">Accelerate partnership with Department of Health to secure inclusion in national equipment procurement framework</w:t>
      </w:r>
    </w:p>
    <w:p>
      <w:pPr>
        <w:numPr>
          <w:ilvl w:val="0"/>
          <w:numId w:val="1005"/>
        </w:numPr>
        <w:pStyle w:val="Compact"/>
      </w:pPr>
      <w:r>
        <w:t xml:space="preserve">Develop Filipino-language surgical equipment training modules (current materials are English-only)</w:t>
      </w:r>
    </w:p>
    <w:p>
      <w:pPr>
        <w:numPr>
          <w:ilvl w:val="0"/>
          <w:numId w:val="1005"/>
        </w:numPr>
        <w:pStyle w:val="Compact"/>
      </w:pPr>
      <w:r>
        <w:t xml:space="preserve">Expand robotics program to include pediatric surgical applications – addressing unmet need at Manila's children's hospitals</w:t>
      </w:r>
    </w:p>
    <w:p>
      <w:pPr>
        <w:pStyle w:val="FirstParagraph"/>
      </w:pPr>
      <w:r>
        <w:t xml:space="preserve">Our success in Manila proves that when medical solutions align with local surgeon needs and national healthcare priorities, sustainable growth becomes achievable. As Dr. Juan Delgado (Chief Surgeon, Jose Rizal Medical Center) noted: "Surgeon Equipment Solutions understands the Filipino surgical environment – not just the machines, but how they integrate into our daily practice."</w:t>
      </w:r>
    </w:p>
    <w:p>
      <w:pPr>
        <w:pStyle w:val="BodyText"/>
      </w:pPr>
      <w:r>
        <w:t xml:space="preserve">Surgeon Medical Solutions | Manila Office: 123 Surgical Avenue, BGC, Taguig City | TEL: +632 890-1234 | www.surgeonsolutions.ph</w:t>
      </w:r>
    </w:p>
    <w:p>
      <w:pPr>
        <w:pStyle w:val="BodyText"/>
      </w:pPr>
      <w:r>
        <w:t xml:space="preserve">This report is confidential and intended solely for internal use by Surgeon Medical Solutions executives. All data sourced from Manila Sales Database (Q3 2023) and Department of Health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Equipment Sales Report - Manila, Philippines</dc:title>
  <dc:creator/>
  <dc:language>en</dc:language>
  <cp:keywords/>
  <dcterms:created xsi:type="dcterms:W3CDTF">2026-07-23T01:21:30Z</dcterms:created>
  <dcterms:modified xsi:type="dcterms:W3CDTF">2026-07-23T01:21:30Z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