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29" w:name="Xf554c2dbe1a3168ea785c68fb0d4f957bc90f03"/>
    <w:p>
      <w:pPr>
        <w:pStyle w:val="Heading1"/>
      </w:pPr>
      <w:r>
        <w:t xml:space="preserve">Sales Report: Surgeon Product Performance Analysis for Russia Moscow Market (Q1-Q4 2023)</w:t>
      </w:r>
    </w:p>
    <w:bookmarkStart w:id="20" w:name="executive-summary"/>
    <w:p>
      <w:pPr>
        <w:pStyle w:val="Heading2"/>
      </w:pPr>
      <w:r>
        <w:t xml:space="preserve">Executive Summary</w:t>
      </w:r>
    </w:p>
    <w:p>
      <w:pPr>
        <w:pStyle w:val="FirstParagraph"/>
      </w:pPr>
      <w:r>
        <w:t xml:space="preserve">This comprehensive Sales Report details the market performance of the advanced surgical technology platform "Surgeon" across Russia, with particular focus on Moscow as the primary commercial hub. The data demonstrates exceptional growth trajectory in one of Europe's most sophisticated medical markets, establishing "Surgeon" as a category-defining solution for precision surgical procedures. In Russia Moscow alone, we achieved 127% year-over-year sales growth, capturing 18.7% market share in the premium surgical robotics segment despite complex regulatory landscapes and geopolitical challenges.</w:t>
      </w:r>
    </w:p>
    <w:bookmarkEnd w:id="20"/>
    <w:bookmarkStart w:id="21" w:name="Xa0a50d55d4f87bef0f7d5507620cd2438084e49"/>
    <w:p>
      <w:pPr>
        <w:pStyle w:val="Heading2"/>
      </w:pPr>
      <w:r>
        <w:t xml:space="preserve">Market Context: Russia Moscow's Surgical Innovation Landscape</w:t>
      </w:r>
    </w:p>
    <w:p>
      <w:pPr>
        <w:pStyle w:val="FirstParagraph"/>
      </w:pPr>
      <w:r>
        <w:t xml:space="preserve">As the epicenter of Russian medical innovation, Moscow hosts 43% of the country's high-complexity surgical facilities, including leading institutions like the Federal State Budgetary Institution "Moscow City Clinical Hospital #1" and the National Medical Research Center of Surgery. The Russian healthcare system is undergoing transformative investment under Presidential Decree No. 277 (2021), allocating $5.8 billion for modern surgical infrastructure through 2025. This strategic pivot created unprecedented opportunity for cutting-edge solutions like our "Surgeon" platform, which directly addresses critical gaps in precision, accessibility, and training efficiency across Moscow's hospital network.</w:t>
      </w:r>
    </w:p>
    <w:bookmarkEnd w:id="21"/>
    <w:bookmarkStart w:id="22" w:name="product-overview-the-surgeon-solution"/>
    <w:p>
      <w:pPr>
        <w:pStyle w:val="Heading2"/>
      </w:pPr>
      <w:r>
        <w:t xml:space="preserve">Product Overview: The Surgeon Solution</w:t>
      </w:r>
    </w:p>
    <w:p>
      <w:pPr>
        <w:pStyle w:val="FirstParagraph"/>
      </w:pPr>
      <w:r>
        <w:t xml:space="preserve">The "Surgeon" system is an AI-driven surgical navigation platform integrating real-time 3D imaging with haptic feedback for minimally invasive procedures. Unlike traditional solutions, it features:</w:t>
      </w:r>
    </w:p>
    <w:p>
      <w:pPr>
        <w:numPr>
          <w:ilvl w:val="0"/>
          <w:numId w:val="1001"/>
        </w:numPr>
        <w:pStyle w:val="Compact"/>
      </w:pPr>
      <w:r>
        <w:t xml:space="preserve">Russian-language interface with localized anatomical databases</w:t>
      </w:r>
    </w:p>
    <w:p>
      <w:pPr>
        <w:numPr>
          <w:ilvl w:val="0"/>
          <w:numId w:val="1001"/>
        </w:numPr>
        <w:pStyle w:val="Compact"/>
      </w:pPr>
      <w:r>
        <w:t xml:space="preserve">Compliance with Russian Medical Device Regulations (GOST R)</w:t>
      </w:r>
    </w:p>
    <w:p>
      <w:pPr>
        <w:numPr>
          <w:ilvl w:val="0"/>
          <w:numId w:val="1001"/>
        </w:numPr>
        <w:pStyle w:val="Compact"/>
      </w:pPr>
      <w:r>
        <w:t xml:space="preserve">Cloud-based training module for surgeons in Moscow's 12 specialized medical academies</w:t>
      </w:r>
    </w:p>
    <w:p>
      <w:pPr>
        <w:numPr>
          <w:ilvl w:val="0"/>
          <w:numId w:val="1001"/>
        </w:numPr>
        <w:pStyle w:val="Compact"/>
      </w:pPr>
      <w:r>
        <w:t xml:space="preserve">On-site support team based in Moscow's Innovation Center at Skolkovo</w:t>
      </w:r>
    </w:p>
    <w:bookmarkEnd w:id="22"/>
    <w:bookmarkStart w:id="23" w:name="Xf39c79d68e7344367f28cdc5b93dc5f00506bf4"/>
    <w:p>
      <w:pPr>
        <w:pStyle w:val="Heading2"/>
      </w:pPr>
      <w:r>
        <w:t xml:space="preserve">Sales Performance: Russia Moscow Market Breakdown (2023)</w:t>
      </w:r>
    </w:p>
    <w:p>
      <w:pPr>
        <w:pStyle w:val="FirstParagraph"/>
      </w:pPr>
      <w:r>
        <w:t xml:space="preserve">Quarter</w:t>
      </w:r>
    </w:p>
    <w:p>
      <w:pPr>
        <w:pStyle w:val="BodyText"/>
      </w:pPr>
      <w:r>
        <w:t xml:space="preserve">Revenue (USD)</w:t>
      </w:r>
    </w:p>
    <w:p>
      <w:pPr>
        <w:pStyle w:val="BodyText"/>
      </w:pPr>
      <w:r>
        <w:t xml:space="preserve">New Hospital Contracts</w:t>
      </w:r>
    </w:p>
    <w:p>
      <w:pPr>
        <w:pStyle w:val="BodyText"/>
      </w:pPr>
      <w:r>
        <w:t xml:space="preserve">Key Moscow Institutions Acquired</w:t>
      </w:r>
    </w:p>
    <w:p>
      <w:pPr>
        <w:pStyle w:val="BodyText"/>
      </w:pPr>
      <w:r>
        <w:t xml:space="preserve">Q1 2023</w:t>
      </w:r>
    </w:p>
    <w:p>
      <w:pPr>
        <w:pStyle w:val="BodyText"/>
      </w:pPr>
      <w:r>
        <w:t xml:space="preserve">$485,000</w:t>
      </w:r>
    </w:p>
    <w:p>
      <w:pPr>
        <w:pStyle w:val="BodyText"/>
      </w:pPr>
      <w:r>
        <w:t xml:space="preserve">7</w:t>
      </w:r>
    </w:p>
    <w:p>
      <w:pPr>
        <w:pStyle w:val="BodyText"/>
      </w:pPr>
      <w:r>
        <w:t xml:space="preserve">Moscow City Clinical Hospital #5, Municipal Clinic #42</w:t>
      </w:r>
    </w:p>
    <w:p>
      <w:pPr>
        <w:pStyle w:val="BodyText"/>
      </w:pPr>
      <w:r>
        <w:t xml:space="preserve">Q2 2023</w:t>
      </w:r>
    </w:p>
    <w:p>
      <w:pPr>
        <w:pStyle w:val="BodyText"/>
      </w:pPr>
      <w:r>
        <w:t xml:space="preserve">By Q4 2023, our sales pipeline in Moscow exceeded $8.7M, with 67% of contracts finalized through strategic partnerships with the Moscow Health Department's digital transformation unit. The most significant deal secured was a 5-year agreement with the</w:t>
      </w:r>
      <w:r>
        <w:t xml:space="preserve"> </w:t>
      </w:r>
      <w:r>
        <w:rPr>
          <w:iCs/>
          <w:i/>
        </w:rPr>
        <w:t xml:space="preserve">Moscow Regional Surgical Center</w:t>
      </w:r>
      <w:r>
        <w:t xml:space="preserve"> </w:t>
      </w:r>
      <w:r>
        <w:t xml:space="preserve">for deployment across all 14 regional hospitals, representing a $2.3M contract—the largest single sale in our company history within Russia.</w:t>
      </w:r>
    </w:p>
    <w:bookmarkEnd w:id="23"/>
    <w:bookmarkStart w:id="24" w:name="Xc47ba70fc23556360f77f0de6183c98956c5be1"/>
    <w:p>
      <w:pPr>
        <w:pStyle w:val="Heading2"/>
      </w:pPr>
      <w:r>
        <w:t xml:space="preserve">Competitive Differentiation in Russia Moscow</w:t>
      </w:r>
    </w:p>
    <w:p>
      <w:pPr>
        <w:pStyle w:val="FirstParagraph"/>
      </w:pPr>
      <w:r>
        <w:t xml:space="preserve">While international competitors (like Intuitive Surgical) dominate global markets, "Surgeon" achieved market leadership in Russia Moscow through three critical advantages:</w:t>
      </w:r>
    </w:p>
    <w:p>
      <w:pPr>
        <w:numPr>
          <w:ilvl w:val="0"/>
          <w:numId w:val="1002"/>
        </w:numPr>
        <w:pStyle w:val="Compact"/>
      </w:pPr>
      <w:r>
        <w:rPr>
          <w:bCs/>
          <w:b/>
        </w:rPr>
        <w:t xml:space="preserve">Localization Strategy:</w:t>
      </w:r>
      <w:r>
        <w:t xml:space="preserve"> </w:t>
      </w:r>
      <w:r>
        <w:t xml:space="preserve">Our Russian engineering team developed anatomy-specific models for Slavic patients, resolving a 32% accuracy gap identified in Western systems during Moscow clinical trials</w:t>
      </w:r>
    </w:p>
    <w:p>
      <w:pPr>
        <w:numPr>
          <w:ilvl w:val="0"/>
          <w:numId w:val="1002"/>
        </w:numPr>
        <w:pStyle w:val="Compact"/>
      </w:pPr>
      <w:r>
        <w:rPr>
          <w:bCs/>
          <w:b/>
        </w:rPr>
        <w:t xml:space="preserve">Regulatory Agility:</w:t>
      </w:r>
      <w:r>
        <w:t xml:space="preserve"> </w:t>
      </w:r>
      <w:r>
        <w:t xml:space="preserve">We navigated the complex Roszdravnadzor certification process 6 months ahead of competitors through dedicated Moscow compliance officers</w:t>
      </w:r>
    </w:p>
    <w:p>
      <w:pPr>
        <w:numPr>
          <w:ilvl w:val="0"/>
          <w:numId w:val="1002"/>
        </w:numPr>
        <w:pStyle w:val="Compact"/>
      </w:pPr>
      <w:r>
        <w:rPr>
          <w:bCs/>
          <w:b/>
        </w:rPr>
        <w:t xml:space="preserve">Training Ecosystem:</w:t>
      </w:r>
      <w:r>
        <w:t xml:space="preserve"> </w:t>
      </w:r>
      <w:r>
        <w:t xml:space="preserve">Launched the "Surgeon Moscow Academy" with 12 certified trainers, completing 87 training sessions for over 240 surgeons at the Russian National Medical Research University</w:t>
      </w:r>
    </w:p>
    <w:bookmarkEnd w:id="24"/>
    <w:bookmarkStart w:id="25" w:name="challenges-strategic-responses"/>
    <w:p>
      <w:pPr>
        <w:pStyle w:val="Heading2"/>
      </w:pPr>
      <w:r>
        <w:t xml:space="preserve">Challenges &amp; Strategic Responses</w:t>
      </w:r>
    </w:p>
    <w:p>
      <w:pPr>
        <w:pStyle w:val="FirstParagraph"/>
      </w:pPr>
      <w:r>
        <w:t xml:space="preserve">The Russia Moscow market presented unique hurdles requiring agile adaptation:</w:t>
      </w:r>
    </w:p>
    <w:p>
      <w:pPr>
        <w:numPr>
          <w:ilvl w:val="0"/>
          <w:numId w:val="1003"/>
        </w:numPr>
        <w:pStyle w:val="Compact"/>
      </w:pPr>
      <w:r>
        <w:rPr>
          <w:bCs/>
          <w:b/>
        </w:rPr>
        <w:t xml:space="preserve">Logistical Complexities:</w:t>
      </w:r>
      <w:r>
        <w:t xml:space="preserve"> </w:t>
      </w:r>
      <w:r>
        <w:t xml:space="preserve">Initial supply chain delays were mitigated by establishing a local assembly hub in Moscow's Krasnogorsk industrial zone, reducing delivery times from 180 to 45 days</w:t>
      </w:r>
    </w:p>
    <w:p>
      <w:pPr>
        <w:numPr>
          <w:ilvl w:val="0"/>
          <w:numId w:val="1003"/>
        </w:numPr>
        <w:pStyle w:val="Compact"/>
      </w:pPr>
      <w:r>
        <w:rPr>
          <w:bCs/>
          <w:b/>
        </w:rPr>
        <w:t xml:space="preserve">Cultural Adoption Barriers:</w:t>
      </w:r>
      <w:r>
        <w:t xml:space="preserve"> </w:t>
      </w:r>
      <w:r>
        <w:t xml:space="preserve">Surgeon resistance was overcome through "Shadowing Programs" where our Moscow-based clinical specialists worked alongside surgeons for 3-week immersion periods</w:t>
      </w:r>
    </w:p>
    <w:p>
      <w:pPr>
        <w:numPr>
          <w:ilvl w:val="0"/>
          <w:numId w:val="1003"/>
        </w:numPr>
        <w:pStyle w:val="Compact"/>
      </w:pPr>
      <w:r>
        <w:rPr>
          <w:bCs/>
          <w:b/>
        </w:rPr>
        <w:t xml:space="preserve">Economic Volatility:</w:t>
      </w:r>
      <w:r>
        <w:t xml:space="preserve"> </w:t>
      </w:r>
      <w:r>
        <w:t xml:space="preserve">Implemented flexible payment plans (including local currency RUB options) approved by the Central Bank of Russia, maintaining 98% contract retention during market fluctuations</w:t>
      </w:r>
    </w:p>
    <w:bookmarkEnd w:id="25"/>
    <w:bookmarkStart w:id="26" w:name="Xaf1b2ab304151bd2470d9b98ee6fb3d63ac46d8"/>
    <w:p>
      <w:pPr>
        <w:pStyle w:val="Heading2"/>
      </w:pPr>
      <w:r>
        <w:t xml:space="preserve">Future Outlook: Surgeon's Strategic Roadmap for Russia Moscow</w:t>
      </w:r>
    </w:p>
    <w:p>
      <w:pPr>
        <w:pStyle w:val="FirstParagraph"/>
      </w:pPr>
      <w:r>
        <w:t xml:space="preserve">Building on 2023 success, our 18-month roadmap for the Russia Moscow market includes:</w:t>
      </w:r>
    </w:p>
    <w:p>
      <w:pPr>
        <w:numPr>
          <w:ilvl w:val="0"/>
          <w:numId w:val="1004"/>
        </w:numPr>
        <w:pStyle w:val="Compact"/>
      </w:pPr>
      <w:r>
        <w:rPr>
          <w:bCs/>
          <w:b/>
        </w:rPr>
        <w:t xml:space="preserve">Expansion:</w:t>
      </w:r>
      <w:r>
        <w:t xml:space="preserve"> </w:t>
      </w:r>
      <w:r>
        <w:t xml:space="preserve">Targeting 5 new regional hospitals in St. Petersburg and Yekaterinburg by Q2 2024, leveraging Moscow's proven model</w:t>
      </w:r>
    </w:p>
    <w:p>
      <w:pPr>
        <w:numPr>
          <w:ilvl w:val="0"/>
          <w:numId w:val="1004"/>
        </w:numPr>
        <w:pStyle w:val="Compact"/>
      </w:pPr>
      <w:r>
        <w:rPr>
          <w:bCs/>
          <w:b/>
        </w:rPr>
        <w:t xml:space="preserve">Technology Enhancement:</w:t>
      </w:r>
      <w:r>
        <w:t xml:space="preserve"> </w:t>
      </w:r>
      <w:r>
        <w:t xml:space="preserve">Integrating with Russia's national medical data platform (EHR "MedCloud") through Moscow-based R&amp;D collaboration with ITMO University</w:t>
      </w:r>
    </w:p>
    <w:p>
      <w:pPr>
        <w:numPr>
          <w:ilvl w:val="0"/>
          <w:numId w:val="1004"/>
        </w:numPr>
        <w:pStyle w:val="Compact"/>
      </w:pPr>
      <w:r>
        <w:rPr>
          <w:bCs/>
          <w:b/>
        </w:rPr>
        <w:t xml:space="preserve">Training Scale-up:</w:t>
      </w:r>
      <w:r>
        <w:t xml:space="preserve"> </w:t>
      </w:r>
      <w:r>
        <w:t xml:space="preserve">Doubling the Surgeon Academy capacity to 500 surgeons annually, including certification programs for regional physicians</w:t>
      </w:r>
    </w:p>
    <w:bookmarkEnd w:id="26"/>
    <w:bookmarkStart w:id="27" w:name="economic-impact-assessment"/>
    <w:p>
      <w:pPr>
        <w:pStyle w:val="Heading2"/>
      </w:pPr>
      <w:r>
        <w:t xml:space="preserve">Economic Impact Assessment</w:t>
      </w:r>
    </w:p>
    <w:p>
      <w:pPr>
        <w:pStyle w:val="FirstParagraph"/>
      </w:pPr>
      <w:r>
        <w:t xml:space="preserve">The "Surgeon" deployment in Russia Moscow has generated measurable economic value beyond revenue:</w:t>
      </w:r>
    </w:p>
    <w:p>
      <w:pPr>
        <w:numPr>
          <w:ilvl w:val="0"/>
          <w:numId w:val="1005"/>
        </w:numPr>
        <w:pStyle w:val="Compact"/>
      </w:pPr>
      <w:r>
        <w:rPr>
          <w:bCs/>
          <w:b/>
        </w:rPr>
        <w:t xml:space="preserve">Cost Savings:</w:t>
      </w:r>
      <w:r>
        <w:t xml:space="preserve"> </w:t>
      </w:r>
      <w:r>
        <w:t xml:space="preserve">Partner hospitals report 37% reduction in surgical complications, saving $1.8M annually across the Moscow network</w:t>
      </w:r>
    </w:p>
    <w:p>
      <w:pPr>
        <w:numPr>
          <w:ilvl w:val="0"/>
          <w:numId w:val="1005"/>
        </w:numPr>
        <w:pStyle w:val="Compact"/>
      </w:pPr>
      <w:r>
        <w:rPr>
          <w:bCs/>
          <w:b/>
        </w:rPr>
        <w:t xml:space="preserve">Workforce Development:</w:t>
      </w:r>
      <w:r>
        <w:t xml:space="preserve"> </w:t>
      </w:r>
      <w:r>
        <w:t xml:space="preserve">Created 28 high-skilled technical support positions in Moscow, with training programs attracting top medical graduates</w:t>
      </w:r>
    </w:p>
    <w:p>
      <w:pPr>
        <w:numPr>
          <w:ilvl w:val="0"/>
          <w:numId w:val="1005"/>
        </w:numPr>
        <w:pStyle w:val="Compact"/>
      </w:pPr>
      <w:r>
        <w:rPr>
          <w:bCs/>
          <w:b/>
        </w:rPr>
        <w:t xml:space="preserve">Economic Multiplier Effect:</w:t>
      </w:r>
      <w:r>
        <w:t xml:space="preserve"> </w:t>
      </w:r>
      <w:r>
        <w:t xml:space="preserve">For every $1 invested in Surgeon systems, hospitals generate $4.30 in operational savings through reduced recovery times and resource optimization</w:t>
      </w:r>
    </w:p>
    <w:bookmarkEnd w:id="27"/>
    <w:bookmarkStart w:id="28" w:name="X2097b266fad252d6bc060d2ab794a58a274ab9f"/>
    <w:p>
      <w:pPr>
        <w:pStyle w:val="Heading2"/>
      </w:pPr>
      <w:r>
        <w:t xml:space="preserve">Conclusion: Establishing Surgical Excellence in Russia Moscow</w:t>
      </w:r>
    </w:p>
    <w:p>
      <w:pPr>
        <w:pStyle w:val="FirstParagraph"/>
      </w:pPr>
      <w:r>
        <w:t xml:space="preserve">This Sales Report conclusively demonstrates that "Surgeon" has transcended being merely a product—it has become the catalyst for surgical excellence across Russia's most critical healthcare ecosystem. The Moscow market, with its ambitious modernization goals and sophisticated medical community, provided the ideal proving ground for our technology. By embedding ourselves within Russia's healthcare transformation narrative—from navigating local regulations to co-developing solutions with Moscow clinicians—we've built sustainable market leadership.</w:t>
      </w:r>
    </w:p>
    <w:p>
      <w:pPr>
        <w:pStyle w:val="BodyText"/>
      </w:pPr>
      <w:r>
        <w:t xml:space="preserve">As we enter 2024, "Surgeon" stands uniquely positioned to capitalize on Russia's $12.7B surgical technology expansion plan, with Moscow serving as the strategic nerve center for all operations across the Commonwealth of Independent States (CIS). Our success in this market validates a replicable model for entering complex European healthcare systems while delivering tangible patient outcomes. The Russia Moscow Sales Report confirms that when medical innovation meets cultural intelligence, extraordinary results follow—a testament to our team's dedication to redefining surgical possibilities in one of the world's most dynamic markets.</w:t>
      </w:r>
    </w:p>
    <w:p>
      <w:pPr>
        <w:pStyle w:val="BodyText"/>
      </w:pPr>
      <w:r>
        <w:rPr>
          <w:bCs/>
          <w:b/>
        </w:rPr>
        <w:t xml:space="preserve">Prepared by:</w:t>
      </w:r>
      <w:r>
        <w:t xml:space="preserve"> </w:t>
      </w:r>
      <w:r>
        <w:t xml:space="preserve">International Healthcare Solutions Division</w:t>
      </w:r>
      <w:r>
        <w:br/>
      </w:r>
      <w:r>
        <w:rPr>
          <w:bCs/>
          <w:b/>
        </w:rPr>
        <w:t xml:space="preserve">Date:</w:t>
      </w:r>
      <w:r>
        <w:t xml:space="preserve"> </w:t>
      </w:r>
      <w:r>
        <w:t xml:space="preserve">January 15, 2024</w:t>
      </w:r>
      <w:r>
        <w:br/>
      </w:r>
      <w:r>
        <w:rPr>
          <w:bCs/>
          <w:b/>
        </w:rPr>
        <w:t xml:space="preserve">Confidential: For Internal Use Only - Russia Moscow Regional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Surgeon Product Performance in Russia Moscow Market</dc:title>
  <dc:creator/>
  <dc:language>en</dc:language>
  <cp:keywords/>
  <dcterms:created xsi:type="dcterms:W3CDTF">2026-07-24T00:19:53Z</dcterms:created>
  <dcterms:modified xsi:type="dcterms:W3CDTF">2026-07-24T00:19:53Z</dcterms:modified>
</cp:coreProperties>
</file>

<file path=docProps/custom.xml><?xml version="1.0" encoding="utf-8"?>
<Properties xmlns="http://schemas.openxmlformats.org/officeDocument/2006/custom-properties" xmlns:vt="http://schemas.openxmlformats.org/officeDocument/2006/docPropsVTypes"/>
</file>