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System</w:t>
      </w:r>
      <w:r>
        <w:t xml:space="preserve"> </w:t>
      </w:r>
      <w:r>
        <w:t xml:space="preserve">Expansion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615161d1e22072161f8853ac15bf0225984bc15"/>
    <w:p>
      <w:pPr>
        <w:pStyle w:val="Heading1"/>
      </w:pPr>
      <w:r>
        <w:t xml:space="preserve">Comprehensive Sales Report: Surgeon System Market Performance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MediTech Solutions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strategic expansion and market performance of the</w:t>
      </w:r>
      <w:r>
        <w:t xml:space="preserve"> </w:t>
      </w:r>
      <w:r>
        <w:rPr>
          <w:iCs/>
          <w:i/>
        </w:rPr>
        <w:t xml:space="preserve">Surgeon System</w:t>
      </w:r>
      <w:r>
        <w:t xml:space="preserve">, our AI-assisted surgical platform, across Russia Saint Petersburg. Following regulatory approvals in Q1 2023, we achieved a 34% market penetration rate among major tertiary hospitals in Saint Petersburg within eight months. The</w:t>
      </w:r>
      <w:r>
        <w:t xml:space="preserve"> </w:t>
      </w:r>
      <w:r>
        <w:rPr>
          <w:bCs/>
          <w:b/>
        </w:rPr>
        <w:t xml:space="preserve">Surgeon</w:t>
      </w:r>
      <w:r>
        <w:t xml:space="preserve"> </w:t>
      </w:r>
      <w:r>
        <w:t xml:space="preserve">solution—designed to enhance precision in minimally invasive procedures—has become a cornerstone of surgical innovation in this critical Russian healthcare hub. This report confirms that Russia Saint Petersburg represents the most promising regional market for</w:t>
      </w:r>
      <w:r>
        <w:t xml:space="preserve"> </w:t>
      </w:r>
      <w:r>
        <w:rPr>
          <w:bCs/>
          <w:b/>
        </w:rPr>
        <w:t xml:space="preserve">Surgeon</w:t>
      </w:r>
      <w:r>
        <w:t xml:space="preserve"> </w:t>
      </w:r>
      <w:r>
        <w:t xml:space="preserve">adoption, with projected 52% year-over-year revenue growth by Q4 2023. The success directly aligns with MediTech Solutions’ objective to dominate Eastern European surgical technology markets.</w:t>
      </w:r>
    </w:p>
    <w:bookmarkEnd w:id="20"/>
    <w:bookmarkStart w:id="21" w:name="X335c5f09c21647c3dff704c10a8a19a48e0a623"/>
    <w:p>
      <w:pPr>
        <w:pStyle w:val="Heading2"/>
      </w:pPr>
      <w:r>
        <w:t xml:space="preserve">II. Market Context: Russia Saint Petersburg as a Strategic Hub</w:t>
      </w:r>
    </w:p>
    <w:p>
      <w:pPr>
        <w:pStyle w:val="FirstParagraph"/>
      </w:pPr>
      <w:r>
        <w:t xml:space="preserve">Russia Saint Petersburg is not merely a city but the epicenter of advanced medical infrastructure in Northwestern Russia. Home to 17 state-funded academic hospitals and 8 private surgical centers—including City Clinical Hospital No. 1 (St. Petersburg’s oldest) and the European Medical Center—this region handles over 40% of Russia’s complex surgical cases annually. The city government recently allocated ₽53 billion for digital health transformation, explicitly prioritizing robotic-assisted surgery tools to reduce patient wait times by 25%. This creates an unprecedented opportunity for the</w:t>
      </w:r>
      <w:r>
        <w:t xml:space="preserve"> </w:t>
      </w:r>
      <w:r>
        <w:rPr>
          <w:bCs/>
          <w:b/>
        </w:rPr>
        <w:t xml:space="preserve">Surgeon</w:t>
      </w:r>
      <w:r>
        <w:t xml:space="preserve"> </w:t>
      </w:r>
      <w:r>
        <w:t xml:space="preserve">System, which reduces procedure duration by 18% compared to traditional methods. Our Sales Report confirms that Saint Petersburg’s healthcare ecosystem is primed for adoption, with hospital administrators actively seeking solutions like</w:t>
      </w:r>
      <w:r>
        <w:t xml:space="preserve"> </w:t>
      </w:r>
      <w:r>
        <w:rPr>
          <w:bCs/>
          <w:b/>
        </w:rPr>
        <w:t xml:space="preserve">Surgeon</w:t>
      </w:r>
      <w:r>
        <w:t xml:space="preserve"> </w:t>
      </w:r>
      <w:r>
        <w:t xml:space="preserve">to meet national efficiency targets.</w:t>
      </w:r>
    </w:p>
    <w:bookmarkEnd w:id="21"/>
    <w:bookmarkStart w:id="22" w:name="Xd7c7b49c339e42b989c25478753bb1199479752"/>
    <w:p>
      <w:pPr>
        <w:pStyle w:val="Heading2"/>
      </w:pPr>
      <w:r>
        <w:t xml:space="preserve">III. Sales Performance Breakdown: Surgeon System Adoption Metrics</w:t>
      </w:r>
    </w:p>
    <w:p>
      <w:pPr>
        <w:pStyle w:val="FirstParagraph"/>
      </w:pPr>
      <w:r>
        <w:t xml:space="preserve">The following metrics illustrate the robust performance of the</w:t>
      </w:r>
      <w:r>
        <w:t xml:space="preserve"> </w:t>
      </w:r>
      <w:r>
        <w:rPr>
          <w:bCs/>
          <w:b/>
        </w:rPr>
        <w:t xml:space="preserve">Surgeon</w:t>
      </w:r>
      <w:r>
        <w:t xml:space="preserve"> </w:t>
      </w:r>
      <w:r>
        <w:t xml:space="preserve">System in Russia Saint Petersburg:</w:t>
      </w:r>
    </w:p>
    <w:p>
      <w:pPr>
        <w:numPr>
          <w:ilvl w:val="0"/>
          <w:numId w:val="1001"/>
        </w:numPr>
        <w:pStyle w:val="Compact"/>
      </w:pPr>
      <w:r>
        <w:rPr>
          <w:bCs/>
          <w:b/>
        </w:rPr>
        <w:t xml:space="preserve">Units Sold:</w:t>
      </w:r>
      <w:r>
        <w:t xml:space="preserve"> </w:t>
      </w:r>
      <w:r>
        <w:t xml:space="preserve">47 systems (15% premium pricing, 85% standard)</w:t>
      </w:r>
    </w:p>
    <w:p>
      <w:pPr>
        <w:numPr>
          <w:ilvl w:val="0"/>
          <w:numId w:val="1001"/>
        </w:numPr>
        <w:pStyle w:val="Compact"/>
      </w:pPr>
      <w:r>
        <w:rPr>
          <w:bCs/>
          <w:b/>
        </w:rPr>
        <w:t xml:space="preserve">Revenue Generated:</w:t>
      </w:r>
      <w:r>
        <w:t xml:space="preserve"> </w:t>
      </w:r>
      <w:r>
        <w:t xml:space="preserve">₽128.6 million (approx. $1.4M USD), exceeding Q3 targets by 22%</w:t>
      </w:r>
    </w:p>
    <w:p>
      <w:pPr>
        <w:numPr>
          <w:ilvl w:val="0"/>
          <w:numId w:val="1001"/>
        </w:numPr>
        <w:pStyle w:val="Compact"/>
      </w:pPr>
      <w:r>
        <w:rPr>
          <w:bCs/>
          <w:b/>
        </w:rPr>
        <w:t xml:space="preserve">Key Clients:</w:t>
      </w:r>
      <w:r>
        <w:t xml:space="preserve"> </w:t>
      </w:r>
      <w:r>
        <w:t xml:space="preserve">St. Petersburg City Surgical Center, Leningrad Regional Hospital, and 5 private clinics (including Clinic "Medicura")</w:t>
      </w:r>
    </w:p>
    <w:p>
      <w:pPr>
        <w:numPr>
          <w:ilvl w:val="0"/>
          <w:numId w:val="1001"/>
        </w:numPr>
        <w:pStyle w:val="Compact"/>
      </w:pPr>
      <w:r>
        <w:rPr>
          <w:bCs/>
          <w:b/>
        </w:rPr>
        <w:t xml:space="preserve">Adoption Rate:</w:t>
      </w:r>
      <w:r>
        <w:t xml:space="preserve"> </w:t>
      </w:r>
      <w:r>
        <w:t xml:space="preserve">78% of target hospitals now utilize</w:t>
      </w:r>
      <w:r>
        <w:t xml:space="preserve"> </w:t>
      </w:r>
      <w:r>
        <w:rPr>
          <w:bCs/>
          <w:b/>
        </w:rPr>
        <w:t xml:space="preserve">Surgeon</w:t>
      </w:r>
      <w:r>
        <w:t xml:space="preserve">, with 32% reporting reduced post-op complications</w:t>
      </w:r>
    </w:p>
    <w:p>
      <w:pPr>
        <w:pStyle w:val="FirstParagraph"/>
      </w:pPr>
      <w:r>
        <w:t xml:space="preserve">Critical to this success was our localized partnership with Rospotrebnadzor-certified medical integrator, MedLab Russia. This collaboration expedited the</w:t>
      </w:r>
      <w:r>
        <w:t xml:space="preserve"> </w:t>
      </w:r>
      <w:r>
        <w:rPr>
          <w:bCs/>
          <w:b/>
        </w:rPr>
        <w:t xml:space="preserve">Surgeon</w:t>
      </w:r>
      <w:r>
        <w:t xml:space="preserve"> </w:t>
      </w:r>
      <w:r>
        <w:t xml:space="preserve">System’s compliance certification—a 30% faster process than regional competitors. The Sales Report emphasizes that Saint Petersburg’s unique regulatory pathway (requiring dual validation from Moscow and local health authorities) was navigated successfully through this alliance, positioning us as the market leader in certified surgical AI solutions.</w:t>
      </w:r>
    </w:p>
    <w:bookmarkEnd w:id="22"/>
    <w:bookmarkStart w:id="23" w:name="X5c34cca961c8636f42b2364b34634ce96f81692"/>
    <w:p>
      <w:pPr>
        <w:pStyle w:val="Heading2"/>
      </w:pPr>
      <w:r>
        <w:t xml:space="preserve">IV. Client Feedback: Surgeon System Impact in Russia Saint Petersburg</w:t>
      </w:r>
    </w:p>
    <w:p>
      <w:pPr>
        <w:pStyle w:val="FirstParagraph"/>
      </w:pPr>
      <w:r>
        <w:t xml:space="preserve">Direct feedback from surgeons at St. Petersburg City Surgical Center underscores the system’s clinical and commercial value:</w:t>
      </w:r>
    </w:p>
    <w:p>
      <w:pPr>
        <w:pStyle w:val="BlockText"/>
      </w:pPr>
      <w:r>
        <w:t xml:space="preserve">"The</w:t>
      </w:r>
      <w:r>
        <w:t xml:space="preserve"> </w:t>
      </w:r>
      <w:r>
        <w:rPr>
          <w:bCs/>
          <w:b/>
        </w:rPr>
        <w:t xml:space="preserve">Surgeon</w:t>
      </w:r>
      <w:r>
        <w:t xml:space="preserve"> </w:t>
      </w:r>
      <w:r>
        <w:t xml:space="preserve">System cuts our laparoscopic surgery time by 21%, allowing us to serve 30% more patients daily. In Russia Saint Petersburg’s high-volume environment, this translates to saving ₽850,000 monthly in operational costs. We’re now training all new residents on this platform."</w:t>
      </w:r>
      <w:r>
        <w:br/>
      </w:r>
      <w:r>
        <w:rPr>
          <w:bCs/>
          <w:b/>
        </w:rPr>
        <w:t xml:space="preserve">— Dr. Elena Volkov, Head of Minimally Invasive Surgery</w:t>
      </w:r>
    </w:p>
    <w:p>
      <w:pPr>
        <w:pStyle w:val="FirstParagraph"/>
      </w:pPr>
      <w:r>
        <w:t xml:space="preserve">This testimonial directly informs our Sales Strategy for Russia Saint Petersburg. Hospitals are now requesting bundled contracts (hardware + AI analytics subscription), a shift noted in our latest Sales Report that increased average revenue per user by 37%.</w:t>
      </w:r>
    </w:p>
    <w:bookmarkEnd w:id="23"/>
    <w:bookmarkStart w:id="24" w:name="v.-challenges-and-strategic-adjustments"/>
    <w:p>
      <w:pPr>
        <w:pStyle w:val="Heading2"/>
      </w:pPr>
      <w:r>
        <w:t xml:space="preserve">V. Challenges and Strategic Adjustments</w:t>
      </w:r>
    </w:p>
    <w:p>
      <w:pPr>
        <w:pStyle w:val="FirstParagraph"/>
      </w:pPr>
      <w:r>
        <w:t xml:space="preserve">Despite strong traction, the Sales Report identifies two regional challenges requiring immediate action:</w:t>
      </w:r>
    </w:p>
    <w:p>
      <w:pPr>
        <w:numPr>
          <w:ilvl w:val="0"/>
          <w:numId w:val="1002"/>
        </w:numPr>
        <w:pStyle w:val="Compact"/>
      </w:pPr>
      <w:r>
        <w:rPr>
          <w:bCs/>
          <w:b/>
        </w:rPr>
        <w:t xml:space="preserve">Currency Volatility:</w:t>
      </w:r>
      <w:r>
        <w:t xml:space="preserve"> </w:t>
      </w:r>
      <w:r>
        <w:t xml:space="preserve">Ruble fluctuations impacted Q2 pricing consistency. Our solution: introduced a 12-month fixed-price contract model for Russia Saint Petersburg hospitals, securing ₽38M in commitments before the ruble dip.</w:t>
      </w:r>
    </w:p>
    <w:p>
      <w:pPr>
        <w:numPr>
          <w:ilvl w:val="0"/>
          <w:numId w:val="1002"/>
        </w:numPr>
        <w:pStyle w:val="Compact"/>
      </w:pPr>
      <w:r>
        <w:rPr>
          <w:bCs/>
          <w:b/>
        </w:rPr>
        <w:t xml:space="preserve">Technical Integration:</w:t>
      </w:r>
      <w:r>
        <w:t xml:space="preserve"> </w:t>
      </w:r>
      <w:r>
        <w:t xml:space="preserve">Legacy hospital systems required customization. We deployed two dedicated engineers to Saint Petersburg, reducing integration time from 10 to 4 weeks—a key factor in closing deals with City Hospital No. 1.</w:t>
      </w:r>
    </w:p>
    <w:p>
      <w:pPr>
        <w:pStyle w:val="FirstParagraph"/>
      </w:pPr>
      <w:r>
        <w:t xml:space="preserve">These adjustments directly address Russia Saint Petersburg-specific pain points, proving that localized service is non-negotiable for</w:t>
      </w:r>
      <w:r>
        <w:t xml:space="preserve"> </w:t>
      </w:r>
      <w:r>
        <w:rPr>
          <w:bCs/>
          <w:b/>
        </w:rPr>
        <w:t xml:space="preserve">Surgeon</w:t>
      </w:r>
      <w:r>
        <w:t xml:space="preserve"> </w:t>
      </w:r>
      <w:r>
        <w:t xml:space="preserve">success here. The Sales Report confirms that hospitals rejected all competitors due to poor post-sale support—a critical differentiator we capitalized on.</w:t>
      </w:r>
    </w:p>
    <w:bookmarkEnd w:id="24"/>
    <w:bookmarkStart w:id="25" w:name="Xd0f8a535ac22ac1d71411c955ebe9ef0891603c"/>
    <w:p>
      <w:pPr>
        <w:pStyle w:val="Heading2"/>
      </w:pPr>
      <w:r>
        <w:t xml:space="preserve">VI. Future Outlook: Scaling Surgeon in Russia Saint Petersburg</w:t>
      </w:r>
    </w:p>
    <w:p>
      <w:pPr>
        <w:pStyle w:val="FirstParagraph"/>
      </w:pPr>
      <w:r>
        <w:t xml:space="preserve">Russia Saint Petersburg remains the flagship market for our European expansion. The upcoming 2024 healthcare budget increase (projected +17%) will fund 15 new surgical centers, creating a direct pipeline for 60+</w:t>
      </w:r>
      <w:r>
        <w:t xml:space="preserve"> </w:t>
      </w:r>
      <w:r>
        <w:rPr>
          <w:bCs/>
          <w:b/>
        </w:rPr>
        <w:t xml:space="preserve">Surgeon</w:t>
      </w:r>
      <w:r>
        <w:t xml:space="preserve"> </w:t>
      </w:r>
      <w:r>
        <w:t xml:space="preserve">Systems. Our strategy includes:</w:t>
      </w:r>
    </w:p>
    <w:p>
      <w:pPr>
        <w:numPr>
          <w:ilvl w:val="0"/>
          <w:numId w:val="1003"/>
        </w:numPr>
        <w:pStyle w:val="Compact"/>
      </w:pPr>
      <w:r>
        <w:rPr>
          <w:bCs/>
          <w:b/>
        </w:rPr>
        <w:t xml:space="preserve">Localization Initiative:</w:t>
      </w:r>
      <w:r>
        <w:t xml:space="preserve"> </w:t>
      </w:r>
      <w:r>
        <w:t xml:space="preserve">Launching Russian-language AI interface by Q2 2024, co-developed with St. Petersburg State Medical University.</w:t>
      </w:r>
    </w:p>
    <w:p>
      <w:pPr>
        <w:numPr>
          <w:ilvl w:val="0"/>
          <w:numId w:val="1003"/>
        </w:numPr>
        <w:pStyle w:val="Compact"/>
      </w:pPr>
      <w:r>
        <w:rPr>
          <w:bCs/>
          <w:b/>
        </w:rPr>
        <w:t xml:space="preserve">Pricing Innovation:</w:t>
      </w:r>
      <w:r>
        <w:t xml:space="preserve"> </w:t>
      </w:r>
      <w:r>
        <w:t xml:space="preserve">Introducing "Surgeon for Rural" tier at ₽1.8M (50% below current price) to capture smaller clinics outside Saint Petersburg city limits.</w:t>
      </w:r>
    </w:p>
    <w:p>
      <w:pPr>
        <w:numPr>
          <w:ilvl w:val="0"/>
          <w:numId w:val="1003"/>
        </w:numPr>
        <w:pStyle w:val="Compact"/>
      </w:pPr>
      <w:r>
        <w:rPr>
          <w:bCs/>
          <w:b/>
        </w:rPr>
        <w:t xml:space="preserve">Government Partnership:</w:t>
      </w:r>
      <w:r>
        <w:t xml:space="preserve"> </w:t>
      </w:r>
      <w:r>
        <w:t xml:space="preserve">Collaborating with Saint Petersburg’s Department of Healthcare on a pilot program subsidizing 30% of</w:t>
      </w:r>
      <w:r>
        <w:t xml:space="preserve"> </w:t>
      </w:r>
      <w:r>
        <w:rPr>
          <w:bCs/>
          <w:b/>
        </w:rPr>
        <w:t xml:space="preserve">Surgeon</w:t>
      </w:r>
      <w:r>
        <w:t xml:space="preserve"> </w:t>
      </w:r>
      <w:r>
        <w:t xml:space="preserve">costs for public hospitals.</w:t>
      </w:r>
    </w:p>
    <w:bookmarkEnd w:id="25"/>
    <w:bookmarkStart w:id="26" w:name="X7cf0e19cba8e9200c66aae5e7ecc00e98e46e5c"/>
    <w:p>
      <w:pPr>
        <w:pStyle w:val="Heading2"/>
      </w:pPr>
      <w:r>
        <w:t xml:space="preserve">VII. Conclusion: Surgeon as a Catalyst for Russia Saint Petersburg’s Healthcare Evolution</w:t>
      </w:r>
    </w:p>
    <w:p>
      <w:pPr>
        <w:pStyle w:val="FirstParagraph"/>
      </w:pPr>
      <w:r>
        <w:t xml:space="preserve">This Sales Report unequivocally demonstrates that the</w:t>
      </w:r>
      <w:r>
        <w:t xml:space="preserve"> </w:t>
      </w:r>
      <w:r>
        <w:rPr>
          <w:bCs/>
          <w:b/>
        </w:rPr>
        <w:t xml:space="preserve">Surgeon</w:t>
      </w:r>
      <w:r>
        <w:t xml:space="preserve"> </w:t>
      </w:r>
      <w:r>
        <w:t xml:space="preserve">System is not merely selling well—it is reshaping surgical standards in Russia Saint Petersburg. With 93% client retention and expanding demand beyond Saint Petersburg to neighboring regions (Novgorod, Kaliningrad), the city has proven its role as a launchpad for our Eurasian strategy. The</w:t>
      </w:r>
      <w:r>
        <w:t xml:space="preserve"> </w:t>
      </w:r>
      <w:r>
        <w:rPr>
          <w:bCs/>
          <w:b/>
        </w:rPr>
        <w:t xml:space="preserve">Surgeon</w:t>
      </w:r>
      <w:r>
        <w:t xml:space="preserve"> </w:t>
      </w:r>
      <w:r>
        <w:t xml:space="preserve">brand is now synonymous with precision surgery in this market, with hospital administrators citing it as "the benchmark for future tech investments." As Russia Saint Petersburg accelerates its digital health transformation, MediTech Solutions’ position as the</w:t>
      </w:r>
      <w:r>
        <w:t xml:space="preserve"> </w:t>
      </w:r>
      <w:r>
        <w:rPr>
          <w:bCs/>
          <w:b/>
        </w:rPr>
        <w:t xml:space="preserve">Surgeon</w:t>
      </w:r>
      <w:r>
        <w:t xml:space="preserve">-system leader will be pivotal to our 2025 global revenue targets. We recommend doubling the local sales team in Saint Petersburg by Q1 2024 to capture 75% market share across all major surgical hubs in Northwestern Russia.</w:t>
      </w:r>
    </w:p>
    <w:p>
      <w:pPr>
        <w:pStyle w:val="BodyText"/>
      </w:pPr>
      <w:r>
        <w:rPr>
          <w:bCs/>
          <w:b/>
        </w:rPr>
        <w:t xml:space="preserve">Prepared By:</w:t>
      </w:r>
      <w:r>
        <w:t xml:space="preserve"> </w:t>
      </w:r>
      <w:r>
        <w:t xml:space="preserve">Alexei Petrov, Regional Director, Eastern Europe</w:t>
      </w:r>
      <w:r>
        <w:br/>
      </w:r>
      <w:r>
        <w:rPr>
          <w:bCs/>
          <w:b/>
        </w:rPr>
        <w:t xml:space="preserve">Approved By:</w:t>
      </w:r>
      <w:r>
        <w:t xml:space="preserve"> </w:t>
      </w:r>
      <w:r>
        <w:t xml:space="preserve">Dr. Anya Sokolova, Chief Commercial Officer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System Expansion in Russia Saint Petersburg</dc:title>
  <dc:creator/>
  <dc:language>en</dc:language>
  <cp:keywords/>
  <dcterms:created xsi:type="dcterms:W3CDTF">2025-12-11T17:30:37Z</dcterms:created>
  <dcterms:modified xsi:type="dcterms:W3CDTF">2025-12-11T17:30:37Z</dcterms:modified>
</cp:coreProperties>
</file>

<file path=docProps/custom.xml><?xml version="1.0" encoding="utf-8"?>
<Properties xmlns="http://schemas.openxmlformats.org/officeDocument/2006/custom-properties" xmlns:vt="http://schemas.openxmlformats.org/officeDocument/2006/docPropsVTypes"/>
</file>