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Spain</w:t>
      </w:r>
      <w:r>
        <w:t xml:space="preserve"> </w:t>
      </w:r>
      <w:r>
        <w:t xml:space="preserve">Madrid</w:t>
      </w:r>
    </w:p>
    <w:bookmarkStart w:id="26" w:name="X4ee234b1e54c0633e8f1833f8a11e884f079dbd"/>
    <w:p>
      <w:pPr>
        <w:pStyle w:val="Heading1"/>
      </w:pPr>
      <w:r>
        <w:t xml:space="preserve">Q3 2024 Sales Report: Driving Innovation in Surgical Solutions for Surgeons Across Spain Madrid</w:t>
      </w:r>
    </w:p>
    <w:p>
      <w:pPr>
        <w:pStyle w:val="FirstParagraph"/>
      </w:pPr>
      <w:r>
        <w:rPr>
          <w:bCs/>
          <w:b/>
        </w:rPr>
        <w:t xml:space="preserve">Prepared For:</w:t>
      </w:r>
      <w:r>
        <w:t xml:space="preserve"> </w:t>
      </w:r>
      <w:r>
        <w:t xml:space="preserve">Executive Leadership &amp; Healthcare Stakeholders</w:t>
      </w:r>
      <w:r>
        <w:br/>
      </w:r>
      <w:r>
        <w:rPr>
          <w:bCs/>
          <w:b/>
        </w:rPr>
        <w:t xml:space="preserve">Date:</w:t>
      </w:r>
      <w:r>
        <w:t xml:space="preserve"> </w:t>
      </w:r>
      <w:r>
        <w:t xml:space="preserve">October 26, 2024</w:t>
      </w:r>
      <w:r>
        <w:br/>
      </w:r>
      <w:r>
        <w:rPr>
          <w:bCs/>
          <w:b/>
        </w:rPr>
        <w:t xml:space="preserve">Region Covered:</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Sales Report details the performance of our advanced surgical instrumentation and digital workflow solutions portfolio during Q3 2024, with a strategic focus on penetrating the critical healthcare ecosystem of Spain Madrid. The Madrid market remains the epicenter of Spain’s medical innovation, home to 15% of the country’s hospitals including world-renowned institutions like Hospital Clínico San Carlos and Quirónsalud Madrid. Our sales team achieved a 22% year-over-year growth in surgeon adoption, exceeding targets by 18%, driven by tailored solutions for local surgical workflows. This report underscores how our commitment to understanding the unique needs of</w:t>
      </w:r>
      <w:r>
        <w:t xml:space="preserve"> </w:t>
      </w:r>
      <w:r>
        <w:rPr>
          <w:iCs/>
          <w:i/>
        </w:rPr>
        <w:t xml:space="preserve">Surgeon</w:t>
      </w:r>
      <w:r>
        <w:t xml:space="preserve"> </w:t>
      </w:r>
      <w:r>
        <w:t xml:space="preserve">stakeholders in Spain Madrid has positioned us as a preferred partner for cutting-edge surgical care.</w:t>
      </w:r>
    </w:p>
    <w:bookmarkEnd w:id="20"/>
    <w:bookmarkStart w:id="21" w:name="X6f91204b2a64c2be41f0d21893227da590273ef"/>
    <w:p>
      <w:pPr>
        <w:pStyle w:val="Heading2"/>
      </w:pPr>
      <w:r>
        <w:t xml:space="preserve">II. Market Context: Spain Madrid’s Surgical Landscape</w:t>
      </w:r>
    </w:p>
    <w:p>
      <w:pPr>
        <w:pStyle w:val="FirstParagraph"/>
      </w:pPr>
      <w:r>
        <w:t xml:space="preserve">Madrid’s healthcare sector is defined by its dual public-private model, where over 70% of complex surgeries occur in tertiary hospitals under the Spanish National Health System (SNS). However, private clinics like Clinica Teknon and Hospital Puerta de Hierro are rapidly expanding demand for high-margin, precision surgical tools. Crucially, Madrid’s surgeon population of 4,500+ (per Spanish Medical Association data) prioritizes solutions that reduce operating room turnover time by ≥15%—a metric our latest robotic-assisted platform directly addresses. The regional government’s 2023 "Digital Surgery Initiative" further accelerated adoption of integrated surgical systems, making Spain Madrid a proving ground for scalable sales strategies.</w:t>
      </w:r>
    </w:p>
    <w:bookmarkEnd w:id="21"/>
    <w:bookmarkStart w:id="22" w:name="X303b7e442add46768098d9f8d04ed77a7aa5ae9"/>
    <w:p>
      <w:pPr>
        <w:pStyle w:val="Heading2"/>
      </w:pPr>
      <w:r>
        <w:t xml:space="preserve">III. Sales Performance Highlights: Surgeon-Centric Growth</w:t>
      </w:r>
    </w:p>
    <w:p>
      <w:pPr>
        <w:pStyle w:val="FirstParagraph"/>
      </w:pPr>
      <w:r>
        <w:t xml:space="preserve">Our Q3 results reflect a deep understanding of how</w:t>
      </w:r>
      <w:r>
        <w:t xml:space="preserve"> </w:t>
      </w:r>
      <w:r>
        <w:rPr>
          <w:iCs/>
          <w:i/>
        </w:rPr>
        <w:t xml:space="preserve">Surgeon</w:t>
      </w:r>
      <w:r>
        <w:t xml:space="preserve"> </w:t>
      </w:r>
      <w:r>
        <w:t xml:space="preserve">decision-making works in Madrid’s environment:</w:t>
      </w:r>
    </w:p>
    <w:p>
      <w:pPr>
        <w:numPr>
          <w:ilvl w:val="0"/>
          <w:numId w:val="1001"/>
        </w:numPr>
        <w:pStyle w:val="Compact"/>
      </w:pPr>
      <w:r>
        <w:rPr>
          <w:bCs/>
          <w:b/>
        </w:rPr>
        <w:t xml:space="preserve">Laparoscopic Instrumentation:</w:t>
      </w:r>
      <w:r>
        <w:t xml:space="preserve"> </w:t>
      </w:r>
      <w:r>
        <w:t xml:space="preserve">38% growth vs. Q2, driven by 12 new contracts with Hospital Universitario La Paz. Surgeons specifically cited our ergonomic design (reducing hand fatigue by 40%) as the key differentiator versus competitors.</w:t>
      </w:r>
    </w:p>
    <w:p>
      <w:pPr>
        <w:numPr>
          <w:ilvl w:val="0"/>
          <w:numId w:val="1001"/>
        </w:numPr>
        <w:pStyle w:val="Compact"/>
      </w:pPr>
      <w:r>
        <w:rPr>
          <w:bCs/>
          <w:b/>
        </w:rPr>
        <w:t xml:space="preserve">Digital Surgical Workflow Platform:</w:t>
      </w:r>
      <w:r>
        <w:t xml:space="preserve"> </w:t>
      </w:r>
      <w:r>
        <w:t xml:space="preserve">Achieved 95% client retention among Madrid-based hospitals. The platform’s integration with Madrid’s SNS electronic health records (SISTEMA DE SALUD MADRID) was a decisive factor in winning contracts at Hospital 12 de Octubre.</w:t>
      </w:r>
    </w:p>
    <w:p>
      <w:pPr>
        <w:numPr>
          <w:ilvl w:val="0"/>
          <w:numId w:val="1001"/>
        </w:numPr>
        <w:pStyle w:val="Compact"/>
      </w:pPr>
      <w:r>
        <w:rPr>
          <w:bCs/>
          <w:b/>
        </w:rPr>
        <w:t xml:space="preserve">Minimally Invasive Robotics:</w:t>
      </w:r>
      <w:r>
        <w:t xml:space="preserve"> </w:t>
      </w:r>
      <w:r>
        <w:t xml:space="preserve">62% YoY increase, with the first full deployment at Quirónsalud Madrid’s new cancer center. Surgeons reported a 27% reduction in post-op complications for colorectal cases—a data point we leveraged in localized training workshops.</w:t>
      </w:r>
    </w:p>
    <w:p>
      <w:pPr>
        <w:pStyle w:val="FirstParagraph"/>
      </w:pPr>
      <w:r>
        <w:t xml:space="preserve">Notably, our Madrid-based sales team—comprising 8 local surgeons turned account managers (e.g., Dr. Elena Márquez, former General Surgeon at Hospital Ramón y Cajal)—catalyzed 73% of new business. Their clinical credibility enabled us to bypass traditional procurement hurdles common in Spanish public hospitals.</w:t>
      </w:r>
    </w:p>
    <w:bookmarkEnd w:id="22"/>
    <w:bookmarkStart w:id="23" w:name="X14fa1850097a7bcbc494a51745b388309477ecd"/>
    <w:p>
      <w:pPr>
        <w:pStyle w:val="Heading2"/>
      </w:pPr>
      <w:r>
        <w:t xml:space="preserve">IV. Regional Challenges &amp; Adaptive Strategies</w:t>
      </w:r>
    </w:p>
    <w:p>
      <w:pPr>
        <w:pStyle w:val="FirstParagraph"/>
      </w:pPr>
      <w:r>
        <w:t xml:space="preserve">Despite strong growth, Spain Madrid presented nuanced challenges:</w:t>
      </w:r>
    </w:p>
    <w:p>
      <w:pPr>
        <w:numPr>
          <w:ilvl w:val="0"/>
          <w:numId w:val="1002"/>
        </w:numPr>
        <w:pStyle w:val="Compact"/>
      </w:pPr>
      <w:r>
        <w:rPr>
          <w:bCs/>
          <w:b/>
        </w:rPr>
        <w:t xml:space="preserve">Regulatory Nuances:</w:t>
      </w:r>
      <w:r>
        <w:t xml:space="preserve"> </w:t>
      </w:r>
      <w:r>
        <w:t xml:space="preserve">The Spanish Agency of Medicines (AEMPS) delayed approval for our new endoscopic stapler by 90 days. Our local regulatory team collaborated with Madrid’s Hospital Pharmacy Committee to fast-track clinical validation, ultimately securing approval in time for Q3 surgical volume peaks.</w:t>
      </w:r>
    </w:p>
    <w:p>
      <w:pPr>
        <w:numPr>
          <w:ilvl w:val="0"/>
          <w:numId w:val="1002"/>
        </w:numPr>
        <w:pStyle w:val="Compact"/>
      </w:pPr>
      <w:r>
        <w:rPr>
          <w:bCs/>
          <w:b/>
        </w:rPr>
        <w:t xml:space="preserve">Competitive Pressure:</w:t>
      </w:r>
      <w:r>
        <w:t xml:space="preserve"> </w:t>
      </w:r>
      <w:r>
        <w:t xml:space="preserve">European rivals like Medtronic intensified pricing pressure on high-volume orthopedic kits. We countered by bundling our digital platform with every instrument purchase—delivering a 20% cost-of-ownership reduction for surgeons, validated through Madrid hospital pilot data.</w:t>
      </w:r>
    </w:p>
    <w:p>
      <w:pPr>
        <w:numPr>
          <w:ilvl w:val="0"/>
          <w:numId w:val="1002"/>
        </w:numPr>
        <w:pStyle w:val="Compact"/>
      </w:pPr>
      <w:r>
        <w:rPr>
          <w:bCs/>
          <w:b/>
        </w:rPr>
        <w:t xml:space="preserve">Cultural Alignment:</w:t>
      </w:r>
      <w:r>
        <w:t xml:space="preserve"> </w:t>
      </w:r>
      <w:r>
        <w:t xml:space="preserve">Spanish surgeons traditionally resist "outsider" solutions. Our Madrid team hosted monthly surgical masterclasses at Hospital Sant Pau, co-led by local surgical leaders. This built trust that translated to 40% higher conversion rates in target accounts.</w:t>
      </w:r>
    </w:p>
    <w:bookmarkEnd w:id="23"/>
    <w:bookmarkStart w:id="24" w:name="Xa0f27f4b5bd658f2ddaeec6433bd5b126e3a41a"/>
    <w:p>
      <w:pPr>
        <w:pStyle w:val="Heading2"/>
      </w:pPr>
      <w:r>
        <w:t xml:space="preserve">V. Strategic Opportunities: Capitalizing on Spain Madrid’s Momentum</w:t>
      </w:r>
    </w:p>
    <w:p>
      <w:pPr>
        <w:pStyle w:val="FirstParagraph"/>
      </w:pPr>
      <w:r>
        <w:t xml:space="preserve">With Madrid positioning itself as a European hub for medical tourism (17% growth in 2023), our Q4 strategy focuses on three pillars:</w:t>
      </w:r>
    </w:p>
    <w:p>
      <w:pPr>
        <w:numPr>
          <w:ilvl w:val="0"/>
          <w:numId w:val="1003"/>
        </w:numPr>
        <w:pStyle w:val="Compact"/>
      </w:pPr>
      <w:r>
        <w:rPr>
          <w:bCs/>
          <w:b/>
        </w:rPr>
        <w:t xml:space="preserve">Private Clinic Expansion:</w:t>
      </w:r>
      <w:r>
        <w:t xml:space="preserve"> </w:t>
      </w:r>
      <w:r>
        <w:t xml:space="preserve">Targeting 5 new contracts with Madrid’s top private hospitals, leveraging their faster procurement cycles. Our pricing model includes outcome-based pricing tied to reduced ICU stays—a proposal endorsed by Dr. Javier Ruiz (Head of Surgery, Clinica Gómez-Morales).</w:t>
      </w:r>
    </w:p>
    <w:p>
      <w:pPr>
        <w:numPr>
          <w:ilvl w:val="0"/>
          <w:numId w:val="1003"/>
        </w:numPr>
        <w:pStyle w:val="Compact"/>
      </w:pPr>
      <w:r>
        <w:rPr>
          <w:bCs/>
          <w:b/>
        </w:rPr>
        <w:t xml:space="preserve">Training Ecosystem Development:</w:t>
      </w:r>
      <w:r>
        <w:t xml:space="preserve"> </w:t>
      </w:r>
      <w:r>
        <w:t xml:space="preserve">Partnering with the Madrid Medical School to embed our platform in surgical residency programs. This "Surgeon-in-Training" initiative aims to build lifelong adoption, addressing Spain’s surgeon shortage (projected 12% deficit by 2030).</w:t>
      </w:r>
    </w:p>
    <w:p>
      <w:pPr>
        <w:numPr>
          <w:ilvl w:val="0"/>
          <w:numId w:val="1003"/>
        </w:numPr>
        <w:pStyle w:val="Compact"/>
      </w:pPr>
      <w:r>
        <w:rPr>
          <w:bCs/>
          <w:b/>
        </w:rPr>
        <w:t xml:space="preserve">AI-Powered Workflow Analytics:</w:t>
      </w:r>
      <w:r>
        <w:t xml:space="preserve"> </w:t>
      </w:r>
      <w:r>
        <w:t xml:space="preserve">Launching a Madrid-specific version of our predictive analytics tool, which identifies high-risk cases in real-time. Early pilots at Hospital La Paz showed a 35% reduction in surgical delays—critical for Madrid’s overcrowded OR schedules.</w:t>
      </w:r>
    </w:p>
    <w:bookmarkEnd w:id="24"/>
    <w:bookmarkStart w:id="25" w:name="X298fad27db7f5308be70d4b9ca43523d5f438cf"/>
    <w:p>
      <w:pPr>
        <w:pStyle w:val="Heading2"/>
      </w:pPr>
      <w:r>
        <w:t xml:space="preserve">VI. Conclusion: The Surgeon as the Heart of Our Spain Madrid Strategy</w:t>
      </w:r>
    </w:p>
    <w:p>
      <w:pPr>
        <w:pStyle w:val="FirstParagraph"/>
      </w:pPr>
      <w:r>
        <w:t xml:space="preserve">This Sales Report confirms that success in Spain Madrid hinges on centering solutions around the surgeon’s daily reality—not just technical specs, but workflow integration, training access, and cultural resonance. Our 22% growth is not accidental; it stems from treating every surgeon in Madrid as a strategic partner. As the Spanish Ministry of Health prioritizes "surgical excellence" through its 2030 roadmap, our Madrid operations are positioned to lead—not only with products but with a model where</w:t>
      </w:r>
      <w:r>
        <w:t xml:space="preserve"> </w:t>
      </w:r>
      <w:r>
        <w:rPr>
          <w:iCs/>
          <w:i/>
        </w:rPr>
        <w:t xml:space="preserve">Surgeon</w:t>
      </w:r>
      <w:r>
        <w:t xml:space="preserve"> </w:t>
      </w:r>
      <w:r>
        <w:t xml:space="preserve">success directly fuels business growth.</w:t>
      </w:r>
    </w:p>
    <w:p>
      <w:pPr>
        <w:pStyle w:val="BodyText"/>
      </w:pPr>
      <w:r>
        <w:t xml:space="preserve">In Q4, we will deepen this relationship through the "Madrid Surgical Innovation Network," a co-creation forum for surgeons to shape our R&amp;D roadmap. By embedding ourselves within Spain Madrid’s healthcare DNA, we transform sales into sustainable partnership. This isn’t just a Sales Report—it’s a blueprint for becoming synonymous with surgical advancement in the heart of Spain.</w:t>
      </w:r>
    </w:p>
    <w:p>
      <w:pPr>
        <w:pStyle w:val="BodyText"/>
      </w:pPr>
      <w:r>
        <w:rPr>
          <w:iCs/>
          <w:i/>
        </w:rPr>
        <w:t xml:space="preserve">Prepared by: Global Healthcare Solutions - Iberia Division</w:t>
      </w:r>
    </w:p>
    <w:p>
      <w:pPr>
        <w:pStyle w:val="BodyText"/>
      </w:pPr>
      <w:r>
        <w:rPr>
          <w:bCs/>
          <w:b/>
        </w:rPr>
        <w:t xml:space="preserve">Total 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Surgical Solutions for Surgeons in Spain Madrid</dc:title>
  <dc:creator/>
  <dc:language>en</dc:language>
  <cp:keywords/>
  <dcterms:created xsi:type="dcterms:W3CDTF">2025-12-10T11:18:28Z</dcterms:created>
  <dcterms:modified xsi:type="dcterms:W3CDTF">2025-12-10T11:18:28Z</dcterms:modified>
</cp:coreProperties>
</file>

<file path=docProps/custom.xml><?xml version="1.0" encoding="utf-8"?>
<Properties xmlns="http://schemas.openxmlformats.org/officeDocument/2006/custom-properties" xmlns:vt="http://schemas.openxmlformats.org/officeDocument/2006/docPropsVTypes"/>
</file>