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Surgical</w:t>
      </w:r>
      <w:r>
        <w:t xml:space="preserve"> </w:t>
      </w:r>
      <w:r>
        <w:t xml:space="preserve">Services</w:t>
      </w:r>
      <w:r>
        <w:t xml:space="preserve"> </w:t>
      </w:r>
      <w:r>
        <w:t xml:space="preserve">Growth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d1b7ee54115b6dde1b363932abd24e13af8bf73"/>
    <w:p>
      <w:pPr>
        <w:pStyle w:val="Heading1"/>
      </w:pPr>
      <w:r>
        <w:t xml:space="preserve">Q3 2023 Sales Report: Strategic Expansion of Surgical Services Across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Gulf Healthcare Solutions Group</w:t>
      </w:r>
      <w:r>
        <w:br/>
      </w:r>
      <w:r>
        <w:rPr>
          <w:bCs/>
          <w:b/>
        </w:rPr>
        <w:t xml:space="preserve">Region Covered:</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comprehensive Sales Report details the robust performance of surgical services within the United Arab Emirates Dubai healthcare market during Q3 2023. The region demonstrated exceptional growth, driven by strategic partnerships, rising medical tourism demand, and enhanced service offerings centered around specialized</w:t>
      </w:r>
      <w:r>
        <w:t xml:space="preserve"> </w:t>
      </w:r>
      <w:r>
        <w:rPr>
          <w:bCs/>
          <w:b/>
        </w:rPr>
        <w:t xml:space="preserve">Surgeon</w:t>
      </w:r>
      <w:r>
        <w:t xml:space="preserve"> </w:t>
      </w:r>
      <w:r>
        <w:t xml:space="preserve">expertise. Dubai solidified its position as the premier destination for advanced surgical care in the Middle East, with our surgical division contributing significantly to the company's overall revenue growth. Key achievements include a 22% year-over-year increase in surgical procedure volume and a 15% uplift in average revenue per patient, directly attributable to premium</w:t>
      </w:r>
      <w:r>
        <w:t xml:space="preserve"> </w:t>
      </w:r>
      <w:r>
        <w:rPr>
          <w:bCs/>
          <w:b/>
        </w:rPr>
        <w:t xml:space="preserve">Surgeon</w:t>
      </w:r>
      <w:r>
        <w:t xml:space="preserve">-led service packages. This report underscores Dubai's critical role as the engine of our regional expansion strategy within the United Arab Emirates.</w:t>
      </w:r>
    </w:p>
    <w:bookmarkEnd w:id="20"/>
    <w:bookmarkStart w:id="21" w:name="X969447a8e992f9a57bb3c21733e5ffb71b9f2a9"/>
    <w:p>
      <w:pPr>
        <w:pStyle w:val="Heading2"/>
      </w:pPr>
      <w:r>
        <w:t xml:space="preserve">II. Market Context: Surgeon-Driven Demand in Dubai</w:t>
      </w:r>
    </w:p>
    <w:p>
      <w:pPr>
        <w:pStyle w:val="FirstParagraph"/>
      </w:pPr>
      <w:r>
        <w:t xml:space="preserve">The healthcare landscape of the United Arab Emirates Dubai is uniquely positioned for surgical excellence. As a global hub for medical tourism, Dubai attracts over 1.5 million international patients annually (Dubai Health Authority, 2023), with surgical procedures representing a dominant service category. Patient preferences increasingly prioritize access to highly skilled</w:t>
      </w:r>
      <w:r>
        <w:t xml:space="preserve"> </w:t>
      </w:r>
      <w:r>
        <w:rPr>
          <w:bCs/>
          <w:b/>
        </w:rPr>
        <w:t xml:space="preserve">Surgeon</w:t>
      </w:r>
      <w:r>
        <w:t xml:space="preserve"> </w:t>
      </w:r>
      <w:r>
        <w:t xml:space="preserve">teams operating within JCI-accredited facilities—this is not merely a trend but the foundational expectation of our premium clients. The United Arab Emirates Dubai government's strategic initiatives, such as the Dubai Health Strategy 2025 and support for specialized medical zones (e.g., Dubai Healthcare City), have accelerated infrastructure development and talent attraction. Consequently, demand for top-tier</w:t>
      </w:r>
      <w:r>
        <w:t xml:space="preserve"> </w:t>
      </w:r>
      <w:r>
        <w:rPr>
          <w:bCs/>
          <w:b/>
        </w:rPr>
        <w:t xml:space="preserve">Surgeon</w:t>
      </w:r>
      <w:r>
        <w:t xml:space="preserve"> </w:t>
      </w:r>
      <w:r>
        <w:t xml:space="preserve">services—particularly in orthopedics, bariatrics, and minimally invasive procedures—has surged by 31% YoY in the Dubai market alone.</w:t>
      </w:r>
    </w:p>
    <w:bookmarkEnd w:id="21"/>
    <w:bookmarkStart w:id="22" w:name="iii.-sales-performance-analysis-q3-2023"/>
    <w:p>
      <w:pPr>
        <w:pStyle w:val="Heading2"/>
      </w:pPr>
      <w:r>
        <w:t xml:space="preserve">III. Sales Performance Analysis: Q3 2023</w:t>
      </w:r>
    </w:p>
    <w:p>
      <w:pPr>
        <w:pStyle w:val="FirstParagraph"/>
      </w:pPr>
      <w:r>
        <w:rPr>
          <w:bCs/>
          <w:b/>
        </w:rPr>
        <w:t xml:space="preserve">A. Revenue Streams:</w:t>
      </w:r>
    </w:p>
    <w:p>
      <w:pPr>
        <w:numPr>
          <w:ilvl w:val="0"/>
          <w:numId w:val="1001"/>
        </w:numPr>
        <w:pStyle w:val="Compact"/>
      </w:pPr>
      <w:r>
        <w:rPr>
          <w:bCs/>
          <w:b/>
        </w:rPr>
        <w:t xml:space="preserve">Elective Surgeries:</w:t>
      </w:r>
      <w:r>
        <w:t xml:space="preserve"> </w:t>
      </w:r>
      <w:r>
        <w:t xml:space="preserve">Contributed 68% of total surgical revenue ($14.5M), with a 27% increase in volume compared to Q3 2022 (driven by international patient influx).</w:t>
      </w:r>
    </w:p>
    <w:p>
      <w:pPr>
        <w:numPr>
          <w:ilvl w:val="0"/>
          <w:numId w:val="1001"/>
        </w:numPr>
        <w:pStyle w:val="Compact"/>
      </w:pPr>
      <w:r>
        <w:rPr>
          <w:bCs/>
          <w:b/>
        </w:rPr>
        <w:t xml:space="preserve">Emergency &amp; Trauma Surgery:</w:t>
      </w:r>
      <w:r>
        <w:t xml:space="preserve"> </w:t>
      </w:r>
      <w:r>
        <w:t xml:space="preserve">Revenue grew by 18%, supported by expanded partnerships with Dubai Police and ambulance services.</w:t>
      </w:r>
    </w:p>
    <w:p>
      <w:pPr>
        <w:numPr>
          <w:ilvl w:val="0"/>
          <w:numId w:val="1001"/>
        </w:numPr>
        <w:pStyle w:val="Compact"/>
      </w:pPr>
      <w:r>
        <w:rPr>
          <w:bCs/>
          <w:b/>
        </w:rPr>
        <w:t xml:space="preserve">Premium Surgeon Consultations &amp; Packages:</w:t>
      </w:r>
      <w:r>
        <w:t xml:space="preserve"> </w:t>
      </w:r>
      <w:r>
        <w:t xml:space="preserve">High-margin service yielding 25% gross margin, up from 20% in Q3 2022. Includes concierge support for international patients (e.g., visa assistance, luxury hotel partnerships).</w:t>
      </w:r>
    </w:p>
    <w:p>
      <w:pPr>
        <w:pStyle w:val="FirstParagraph"/>
      </w:pPr>
      <w:r>
        <w:rPr>
          <w:bCs/>
          <w:b/>
        </w:rPr>
        <w:t xml:space="preserve">B. Key Metrics (United Arab Emirates Dubai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(Dubai)</w:t>
            </w:r>
          </w:p>
        </w:tc>
        <w:tc>
          <w:tcPr/>
          <w:p>
            <w:pPr>
              <w:pStyle w:val="Compact"/>
              <w:jc w:val="left"/>
            </w:pPr>
            <w:r>
              <w:t xml:space="preserve">Q3 2022 (Dubai)</w:t>
            </w:r>
          </w:p>
        </w:tc>
        <w:tc>
          <w:tcPr/>
          <w:p>
            <w:pPr>
              <w:pStyle w:val="Compact"/>
              <w:jc w:val="left"/>
            </w:pPr>
            <w:r>
              <w:t xml:space="preserve">% Change</w:t>
            </w:r>
          </w:p>
        </w:tc>
      </w:tr>
      <w:tr>
        <w:tc>
          <w:tcPr/>
          <w:p>
            <w:pPr>
              <w:pStyle w:val="Compact"/>
              <w:jc w:val="left"/>
            </w:pPr>
            <w:r>
              <w:t xml:space="preserve">Total Surgical Procedures</w:t>
            </w:r>
          </w:p>
        </w:tc>
        <w:tc>
          <w:tcPr/>
          <w:p>
            <w:pPr>
              <w:pStyle w:val="Compact"/>
              <w:jc w:val="left"/>
            </w:pPr>
            <w:r>
              <w:t xml:space="preserve">1,850</w:t>
            </w:r>
          </w:p>
        </w:tc>
        <w:tc>
          <w:tcPr/>
          <w:p>
            <w:pPr>
              <w:pStyle w:val="Compact"/>
              <w:jc w:val="left"/>
            </w:pPr>
            <w:r>
              <w:t xml:space="preserve">1,475</w:t>
            </w:r>
          </w:p>
        </w:tc>
        <w:tc>
          <w:tcPr/>
          <w:p>
            <w:pPr>
              <w:pStyle w:val="Compact"/>
              <w:jc w:val="left"/>
            </w:pPr>
            <w:r>
              <w:t xml:space="preserve">+25.4%</w:t>
            </w:r>
          </w:p>
        </w:tc>
      </w:tr>
      <w:tr>
        <w:tc>
          <w:tcPr/>
          <w:p>
            <w:pPr>
              <w:pStyle w:val="Compact"/>
              <w:jc w:val="left"/>
            </w:pPr>
            <w:r>
              <w:t xml:space="preserve">Average Revenue per Procedure (Dubai)</w:t>
            </w:r>
          </w:p>
        </w:tc>
        <w:tc>
          <w:tcPr/>
          <w:p>
            <w:pPr>
              <w:pStyle w:val="Compact"/>
              <w:jc w:val="left"/>
            </w:pPr>
            <w:r>
              <w:t xml:space="preserve">$8,100</w:t>
            </w:r>
          </w:p>
        </w:tc>
        <w:tc>
          <w:tcPr/>
          <w:p>
            <w:pPr>
              <w:pStyle w:val="Compact"/>
              <w:jc w:val="left"/>
            </w:pPr>
            <w:r>
              <w:t xml:space="preserve">$7,350</w:t>
            </w:r>
          </w:p>
        </w:tc>
        <w:tc>
          <w:tcPr/>
          <w:p>
            <w:pPr>
              <w:pStyle w:val="Compact"/>
              <w:jc w:val="left"/>
            </w:pPr>
            <w:r>
              <w:t xml:space="preserve">+10.2%</w:t>
            </w:r>
          </w:p>
        </w:tc>
      </w:tr>
      <w:tr>
        <w:tc>
          <w:tcPr/>
          <w:p>
            <w:pPr>
              <w:pStyle w:val="Compact"/>
              <w:jc w:val="left"/>
            </w:pPr>
            <w:r>
              <w:t xml:space="preserve">International Patient Volume (Dubai)</w:t>
            </w:r>
          </w:p>
        </w:tc>
        <w:tc>
          <w:tcPr/>
          <w:p>
            <w:pPr>
              <w:pStyle w:val="Compact"/>
              <w:jc w:val="left"/>
            </w:pPr>
            <w:r>
              <w:t xml:space="preserve">724</w:t>
            </w:r>
          </w:p>
        </w:tc>
        <w:tc>
          <w:tcPr/>
          <w:p>
            <w:pPr>
              <w:pStyle w:val="Compact"/>
              <w:jc w:val="left"/>
            </w:pPr>
            <w:r>
              <w:t xml:space="preserve">589</w:t>
            </w:r>
          </w:p>
        </w:tc>
        <w:tc>
          <w:tcPr/>
          <w:p>
            <w:pPr>
              <w:pStyle w:val="Compact"/>
              <w:jc w:val="left"/>
            </w:pPr>
            <w:r>
              <w:t xml:space="preserve">+23.0%</w:t>
            </w:r>
          </w:p>
        </w:tc>
      </w:tr>
      <w:tr>
        <w:tc>
          <w:tcPr/>
          <w:p>
            <w:pPr>
              <w:pStyle w:val="Compact"/>
              <w:jc w:val="left"/>
            </w:pPr>
            <w:r>
              <w:t xml:space="preserve">New Surgeon Partnership Acquisitions</w:t>
            </w:r>
          </w:p>
        </w:tc>
        <w:tc>
          <w:tcPr/>
          <w:p>
            <w:pPr>
              <w:pStyle w:val="Compact"/>
              <w:jc w:val="left"/>
            </w:pPr>
            <w:r>
              <w:t xml:space="preserve">14</w:t>
            </w:r>
          </w:p>
        </w:tc>
        <w:tc>
          <w:tcPr/>
          <w:p>
            <w:pPr>
              <w:pStyle w:val="Compact"/>
              <w:jc w:val="left"/>
            </w:pPr>
            <w:r>
              <w:t xml:space="preserve">8</w:t>
            </w:r>
          </w:p>
        </w:tc>
        <w:tc>
          <w:tcPr/>
          <w:p>
            <w:pPr>
              <w:pStyle w:val="Compact"/>
              <w:jc w:val="left"/>
            </w:pPr>
            <w:r>
              <w:t xml:space="preserve">+75.0%</w:t>
            </w:r>
          </w:p>
        </w:tc>
      </w:tr>
    </w:tbl>
    <w:bookmarkEnd w:id="22"/>
    <w:bookmarkStart w:id="23" w:name="X9e29d19ae49af266af58098560bc2d7973bf1cb"/>
    <w:p>
      <w:pPr>
        <w:pStyle w:val="Heading2"/>
      </w:pPr>
      <w:r>
        <w:t xml:space="preserve">IV. Strategic Drivers of Success in Dubai Market</w:t>
      </w:r>
    </w:p>
    <w:p>
      <w:pPr>
        <w:pStyle w:val="FirstParagraph"/>
      </w:pPr>
      <w:r>
        <w:t xml:space="preserve">The exceptional performance of our surgical services in United Arab Emirates Dubai stems from three core strategic pillars:</w:t>
      </w:r>
    </w:p>
    <w:p>
      <w:pPr>
        <w:numPr>
          <w:ilvl w:val="0"/>
          <w:numId w:val="1002"/>
        </w:numPr>
        <w:pStyle w:val="Compact"/>
      </w:pPr>
      <w:r>
        <w:rPr>
          <w:bCs/>
          <w:b/>
        </w:rPr>
        <w:t xml:space="preserve">Talent Acquisition &amp; Surgeon Partnership Network:</w:t>
      </w:r>
      <w:r>
        <w:t xml:space="preserve"> </w:t>
      </w:r>
      <w:r>
        <w:t xml:space="preserve">Aggressive recruitment of internationally certified</w:t>
      </w:r>
      <w:r>
        <w:t xml:space="preserve"> </w:t>
      </w:r>
      <w:r>
        <w:rPr>
          <w:bCs/>
          <w:b/>
        </w:rPr>
        <w:t xml:space="preserve">Surgeon</w:t>
      </w:r>
      <w:r>
        <w:t xml:space="preserve">s (75% with US/EU board certifications) and strategic alliances with leading Dubai hospitals (e.g., American Hospital Dubai, Rashid Hospital, Cleveland Clinic Abu Dhabi). This network directly addresses the critical shortage of specialized surgical talent in the region.</w:t>
      </w:r>
    </w:p>
    <w:p>
      <w:pPr>
        <w:numPr>
          <w:ilvl w:val="0"/>
          <w:numId w:val="1002"/>
        </w:numPr>
        <w:pStyle w:val="Compact"/>
      </w:pPr>
      <w:r>
        <w:rPr>
          <w:bCs/>
          <w:b/>
        </w:rPr>
        <w:t xml:space="preserve">Hyper-Local Market Adaptation:</w:t>
      </w:r>
      <w:r>
        <w:t xml:space="preserve"> </w:t>
      </w:r>
      <w:r>
        <w:t xml:space="preserve">Tailoring service packages to Dubai’s unique demographic—high-value medical tourists from Russia, India, and Europe. Services include Ramadan-compliant care schedules, multilingual staff (Arabic, English, Hindi), and luxury post-operative recovery options within Dubai's premium resorts.</w:t>
      </w:r>
    </w:p>
    <w:p>
      <w:pPr>
        <w:numPr>
          <w:ilvl w:val="0"/>
          <w:numId w:val="1002"/>
        </w:numPr>
        <w:pStyle w:val="Compact"/>
      </w:pPr>
      <w:r>
        <w:rPr>
          <w:bCs/>
          <w:b/>
        </w:rPr>
        <w:t xml:space="preserve">Digital Integration &amp; Patient Experience:</w:t>
      </w:r>
      <w:r>
        <w:t xml:space="preserve"> </w:t>
      </w:r>
      <w:r>
        <w:t xml:space="preserve">Implementation of the "Dubai MedLink" platform for seamless international patient onboarding (booking consultations, insurance verification, travel logistics). 92% of patients cited this as a key factor in choosing our</w:t>
      </w:r>
      <w:r>
        <w:t xml:space="preserve"> </w:t>
      </w:r>
      <w:r>
        <w:rPr>
          <w:bCs/>
          <w:b/>
        </w:rPr>
        <w:t xml:space="preserve">Surgeon</w:t>
      </w:r>
      <w:r>
        <w:t xml:space="preserve"> </w:t>
      </w:r>
      <w:r>
        <w:t xml:space="preserve">services over competitors.</w:t>
      </w:r>
    </w:p>
    <w:bookmarkEnd w:id="23"/>
    <w:bookmarkStart w:id="24" w:name="v.-challenges-mitigation-strategies"/>
    <w:p>
      <w:pPr>
        <w:pStyle w:val="Heading2"/>
      </w:pPr>
      <w:r>
        <w:t xml:space="preserve">V. Challenges &amp; Mitigation Strategies</w:t>
      </w:r>
    </w:p>
    <w:p>
      <w:pPr>
        <w:pStyle w:val="FirstParagraph"/>
      </w:pPr>
      <w:r>
        <w:t xml:space="preserve">The Dubai market presents unique challenges requiring agile responses:</w:t>
      </w:r>
    </w:p>
    <w:p>
      <w:pPr>
        <w:numPr>
          <w:ilvl w:val="0"/>
          <w:numId w:val="1003"/>
        </w:numPr>
        <w:pStyle w:val="Compact"/>
      </w:pPr>
      <w:r>
        <w:rPr>
          <w:iCs/>
          <w:i/>
        </w:rPr>
        <w:t xml:space="preserve">Regulatory Complexity:</w:t>
      </w:r>
      <w:r>
        <w:t xml:space="preserve"> </w:t>
      </w:r>
      <w:r>
        <w:t xml:space="preserve">Navigating UAE medical licensing (DHA, MOHAP) requires dedicated local compliance officers. *Mitigation:* Added two full-time DHA liaison roles in Dubai HQ; reduced approval timelines by 40%.</w:t>
      </w:r>
    </w:p>
    <w:p>
      <w:pPr>
        <w:numPr>
          <w:ilvl w:val="0"/>
          <w:numId w:val="1003"/>
        </w:numPr>
        <w:pStyle w:val="Compact"/>
      </w:pPr>
      <w:r>
        <w:rPr>
          <w:iCs/>
          <w:i/>
        </w:rPr>
        <w:t xml:space="preserve">Competition from Regional Players:</w:t>
      </w:r>
      <w:r>
        <w:t xml:space="preserve"> </w:t>
      </w:r>
      <w:r>
        <w:t xml:space="preserve">Intensifying competition from Riyadh and Abu Dhabi for high-net-worth patients. *Mitigation:* Launched "Surgeon Excellence Guarantee" (98% patient satisfaction target) with Dubai-based surgeons as brand ambassadors.</w:t>
      </w:r>
    </w:p>
    <w:p>
      <w:pPr>
        <w:numPr>
          <w:ilvl w:val="0"/>
          <w:numId w:val="1003"/>
        </w:numPr>
        <w:pStyle w:val="Compact"/>
      </w:pPr>
      <w:r>
        <w:rPr>
          <w:iCs/>
          <w:i/>
        </w:rPr>
        <w:t xml:space="preserve">Currency Fluctuations:</w:t>
      </w:r>
      <w:r>
        <w:t xml:space="preserve"> </w:t>
      </w:r>
      <w:r>
        <w:t xml:space="preserve">Impact on international patient pricing (USD/EUR rates). *Mitigation:* Introduced fixed-price surgical packages in USD, protecting revenue and simplifying billing for overseas patients.</w:t>
      </w:r>
    </w:p>
    <w:bookmarkEnd w:id="24"/>
    <w:bookmarkStart w:id="25" w:name="X8dc0737790c5028d8466d6d968caf8b50c1973b"/>
    <w:p>
      <w:pPr>
        <w:pStyle w:val="Heading2"/>
      </w:pPr>
      <w:r>
        <w:t xml:space="preserve">VI. Recommendations &amp; Forward-Looking Strategy</w:t>
      </w:r>
    </w:p>
    <w:p>
      <w:pPr>
        <w:pStyle w:val="FirstParagraph"/>
      </w:pPr>
      <w:r>
        <w:t xml:space="preserve">To sustain momentum in the United Arab Emirates Dubai market, we recommend:</w:t>
      </w:r>
    </w:p>
    <w:p>
      <w:pPr>
        <w:numPr>
          <w:ilvl w:val="0"/>
          <w:numId w:val="1004"/>
        </w:numPr>
        <w:pStyle w:val="Compact"/>
      </w:pPr>
      <w:r>
        <w:rPr>
          <w:bCs/>
          <w:b/>
        </w:rPr>
        <w:t xml:space="preserve">Expand Surgeon Specialization:</w:t>
      </w:r>
      <w:r>
        <w:t xml:space="preserve"> </w:t>
      </w:r>
      <w:r>
        <w:t xml:space="preserve">Dedicate 30% of new surgeon partnerships to emerging fields like robotic-assisted surgery and cosmetic oncology—addressing high-growth demand clusters identified by Dubai Health Authority data.</w:t>
      </w:r>
    </w:p>
    <w:p>
      <w:pPr>
        <w:numPr>
          <w:ilvl w:val="0"/>
          <w:numId w:val="1004"/>
        </w:numPr>
        <w:pStyle w:val="Compact"/>
      </w:pPr>
      <w:r>
        <w:rPr>
          <w:bCs/>
          <w:b/>
        </w:rPr>
        <w:t xml:space="preserve">Leverage Dubai's Infrastructure:</w:t>
      </w:r>
      <w:r>
        <w:t xml:space="preserve"> </w:t>
      </w:r>
      <w:r>
        <w:t xml:space="preserve">Partner with Dubai International Airport for dedicated medical tourism lanes; collaborate with DP World on logistics for surgical equipment import/export.</w:t>
      </w:r>
    </w:p>
    <w:p>
      <w:pPr>
        <w:numPr>
          <w:ilvl w:val="0"/>
          <w:numId w:val="1004"/>
        </w:numPr>
        <w:pStyle w:val="Compact"/>
      </w:pPr>
      <w:r>
        <w:rPr>
          <w:bCs/>
          <w:b/>
        </w:rPr>
        <w:t xml:space="preserve">Enhance Digital Patient Journey:</w:t>
      </w:r>
      <w:r>
        <w:t xml:space="preserve"> </w:t>
      </w:r>
      <w:r>
        <w:t xml:space="preserve">Launch Arabic-language telehealth platform for pre-op consultations, targeting the GCC's growing middle-class patient base within United Arab Emirates Dubai.</w:t>
      </w:r>
    </w:p>
    <w:bookmarkEnd w:id="25"/>
    <w:bookmarkStart w:id="26" w:name="vii.-conclusion"/>
    <w:p>
      <w:pPr>
        <w:pStyle w:val="Heading2"/>
      </w:pPr>
      <w:r>
        <w:t xml:space="preserve">VII. Conclusion</w:t>
      </w:r>
    </w:p>
    <w:p>
      <w:pPr>
        <w:pStyle w:val="FirstParagraph"/>
      </w:pPr>
      <w:r>
        <w:t xml:space="preserve">The Q3 2023 Sales Report confirms that surgical services are not just a revenue stream but the cornerstone of our success in the dynamic United Arab Emirates Dubai healthcare ecosystem. Our strategic focus on securing premier</w:t>
      </w:r>
      <w:r>
        <w:t xml:space="preserve"> </w:t>
      </w:r>
      <w:r>
        <w:rPr>
          <w:bCs/>
          <w:b/>
        </w:rPr>
        <w:t xml:space="preserve">Surgeon</w:t>
      </w:r>
      <w:r>
        <w:t xml:space="preserve"> </w:t>
      </w:r>
      <w:r>
        <w:t xml:space="preserve">partnerships, adapting to Dubai's unique market nuances, and delivering exceptional patient experiences has positioned us for sustained leadership. As the UAE government continues its investment in healthcare innovation—projecting a 20% CAGR for medical tourism through 2030—the Dubai surgical division is primed to capture significant market share. We project a minimum of 35% growth in surgical services revenue by Q1 2024, directly contributing to the company's overall target of $75M in United Arab Emirates revenue. The future of healthcare delivery in Dubai is defined by surgeon excellence, and our team is delivering it with precision.</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sales.intelligence@ghsgroup.ae | +971 4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Surgical Services Growth in United Arab Emirates Dubai</dc:title>
  <dc:creator/>
  <dc:language>en</dc:language>
  <cp:keywords/>
  <dcterms:created xsi:type="dcterms:W3CDTF">2026-07-24T12:31:51Z</dcterms:created>
  <dcterms:modified xsi:type="dcterms:W3CDTF">2026-07-24T12:31:51Z</dcterms:modified>
</cp:coreProperties>
</file>

<file path=docProps/custom.xml><?xml version="1.0" encoding="utf-8"?>
<Properties xmlns="http://schemas.openxmlformats.org/officeDocument/2006/custom-properties" xmlns:vt="http://schemas.openxmlformats.org/officeDocument/2006/docPropsVTypes"/>
</file>